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6A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80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333333"/>
          <w:sz w:val="52"/>
          <w:szCs w:val="52"/>
        </w:rPr>
      </w:pPr>
      <w:bookmarkStart w:id="0" w:name="_GoBack"/>
      <w:r>
        <w:rPr>
          <w:rFonts w:hint="default" w:ascii="微软雅黑" w:hAnsi="微软雅黑" w:eastAsia="微软雅黑" w:cs="微软雅黑"/>
          <w:b w:val="0"/>
          <w:bCs w:val="0"/>
          <w:color w:val="333333"/>
          <w:sz w:val="52"/>
          <w:szCs w:val="52"/>
          <w:bdr w:val="none" w:color="auto" w:sz="0" w:space="0"/>
        </w:rPr>
        <w:t>国家药监局关于参苏感冒片转换为非处方药的公告（2026年第7号）</w:t>
      </w:r>
    </w:p>
    <w:bookmarkEnd w:id="0"/>
    <w:p w14:paraId="094569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根据《处方药与非处方药分类管理办法（试行）》（原国家药品监督管理局令第10号）规定，经国家药监局组织论证和审核，参苏感冒片由处方药转换为非处方药。品种名单（见附件1）及非处方药说明书范本（见附件2）一并发布。</w:t>
      </w:r>
    </w:p>
    <w:p w14:paraId="6C896D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请相关药品上市许可持有人于2026年10月12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14:paraId="2A28C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14:paraId="4325E2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特此公告。</w:t>
      </w:r>
    </w:p>
    <w:p w14:paraId="42E1E2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</w:t>
      </w:r>
    </w:p>
    <w:p w14:paraId="3DD157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附件：1.品种名单</w:t>
      </w:r>
    </w:p>
    <w:p w14:paraId="7BC384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          2.非处方药说明书范本</w:t>
      </w:r>
    </w:p>
    <w:p w14:paraId="696E88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</w:t>
      </w:r>
    </w:p>
    <w:p w14:paraId="74325C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</w:t>
      </w:r>
    </w:p>
    <w:p w14:paraId="161AC7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</w:t>
      </w:r>
    </w:p>
    <w:p w14:paraId="1C6421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国家药监局</w:t>
      </w:r>
    </w:p>
    <w:p w14:paraId="4D889A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2026年1月13日</w:t>
      </w:r>
    </w:p>
    <w:p w14:paraId="21C6C8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</w:p>
    <w:p w14:paraId="4E49BE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2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instrText xml:space="preserve"> HYPERLINK "https://www.nmpa.gov.cn/directory/web/nmpa/images/1768460057288015169.doc" \o "国家药品监督管理局2026年第7号公告附件1.doc" </w:instrText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t>国家药品监督管理局2026年第7号公告附件1.doc</w:t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end"/>
      </w:r>
    </w:p>
    <w:p w14:paraId="081C7B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2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instrText xml:space="preserve"> HYPERLINK "https://www.nmpa.gov.cn/directory/web/nmpa/images/1768460064013083193.doc" \o "国家药品监督管理局2026年第7号公告附件2.doc" </w:instrText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t>国家药品监督管理局2026年第7号公告附件2.doc</w:t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end"/>
      </w:r>
    </w:p>
    <w:p w14:paraId="3CB6FE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</w:p>
    <w:p w14:paraId="7163B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D7CCD"/>
    <w:rsid w:val="F2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2026-02-02T12:36:00Z</dcterms:created>
  <dc:creator>彭天曜律师</dc:creator>
  <cp:lastModifiedBy>彭天曜律师</cp:lastModifiedBy>
  <dcterms:modified xsi:type="dcterms:W3CDTF">2026-02-02T12:42:44Z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66072332E5893A5AD02980697FEA8299_41</vt:lpwstr>
  </property>
</Properties>
</file>