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5A43C">
      <w:pPr>
        <w:rPr>
          <w:rFonts w:hint="default"/>
        </w:rPr>
      </w:pPr>
      <w:bookmarkStart w:id="0" w:name="_GoBack"/>
      <w:r>
        <w:rPr>
          <w:rFonts w:hint="default"/>
        </w:rPr>
        <w:t>国家药品监督管理局关于马来酸依那普利口服溶液说明书增加儿童用药信息的公告</w:t>
      </w:r>
    </w:p>
    <w:bookmarkEnd w:id="0"/>
    <w:p w14:paraId="5AF07809">
      <w:pPr>
        <w:rPr/>
      </w:pPr>
      <w:r>
        <w:rPr>
          <w:rFonts w:hint="default"/>
        </w:rPr>
        <w:t>（2025年第118号）</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
        <w:gridCol w:w="6"/>
        <w:gridCol w:w="240"/>
      </w:tblGrid>
      <w:tr w14:paraId="00B86525">
        <w:tc>
          <w:tcPr>
            <w:tcW w:w="0" w:type="auto"/>
            <w:shd w:val="clear"/>
            <w:tcMar>
              <w:top w:w="80" w:type="dxa"/>
            </w:tcMar>
            <w:vAlign w:val="center"/>
          </w:tcPr>
          <w:p w14:paraId="57731BDA">
            <w:pPr>
              <w:rPr/>
            </w:pPr>
          </w:p>
        </w:tc>
        <w:tc>
          <w:tcPr>
            <w:tcW w:w="0" w:type="auto"/>
            <w:shd w:val="clear"/>
            <w:vAlign w:val="center"/>
          </w:tcPr>
          <w:p w14:paraId="681F657B">
            <w:pPr>
              <w:rPr/>
            </w:pPr>
          </w:p>
        </w:tc>
        <w:tc>
          <w:tcPr>
            <w:tcW w:w="240" w:type="dxa"/>
            <w:shd w:val="clear"/>
            <w:vAlign w:val="center"/>
          </w:tcPr>
          <w:p w14:paraId="132E8C56">
            <w:pPr>
              <w:rPr>
                <w:lang w:val="en-US" w:eastAsia="zh-CN"/>
              </w:rPr>
            </w:pPr>
          </w:p>
        </w:tc>
      </w:tr>
    </w:tbl>
    <w:p w14:paraId="56E84847">
      <w:pPr>
        <w:rPr/>
      </w:pPr>
      <w:r>
        <w:rPr>
          <w:rFonts w:hint="default"/>
        </w:rPr>
        <w:t>　　为更好满足儿童临床用药需求，经研究论证，马来酸依那普利口服溶液的说明书可以按要求增加儿童使用人群及用法用量。现将有关事项公告如下：</w:t>
      </w:r>
      <w:r>
        <w:rPr>
          <w:rFonts w:hint="default"/>
        </w:rPr>
        <w:br w:type="textWrapping"/>
      </w:r>
      <w:r>
        <w:rPr>
          <w:rFonts w:hint="default"/>
        </w:rPr>
        <w:t>　　一、该品种的上市许可持有人可依据《药品注册管理办法》等有关规定，按照相应修订建议（见附件），向国家药监局药品审评中心提出补充申请，修订说明书【适应症】和【用法用量】项有关内容，并同时完善说明书安全性信息等相关内容。修订内容涉及药品标签的，应当一并进行修订。</w:t>
      </w:r>
      <w:r>
        <w:rPr>
          <w:rFonts w:hint="default"/>
        </w:rPr>
        <w:br w:type="textWrapping"/>
      </w:r>
      <w:r>
        <w:rPr>
          <w:rFonts w:hint="default"/>
        </w:rPr>
        <w:t>　　二、相应补充申请批准后，该品种的上市许可持有人应当及时收集并报告不良反应信息，做好儿童用药的风险控制及药物警戒工作。</w:t>
      </w:r>
      <w:r>
        <w:rPr>
          <w:rFonts w:hint="default"/>
        </w:rPr>
        <w:br w:type="textWrapping"/>
      </w:r>
      <w:r>
        <w:rPr>
          <w:rFonts w:hint="default"/>
        </w:rPr>
        <w:t>　　特此公告。</w:t>
      </w:r>
      <w:r>
        <w:rPr>
          <w:rFonts w:hint="default"/>
        </w:rPr>
        <w:br w:type="textWrapping"/>
      </w:r>
      <w:r>
        <w:rPr>
          <w:rFonts w:hint="default"/>
        </w:rPr>
        <w:t>　　　　</w:t>
      </w:r>
      <w:r>
        <w:rPr>
          <w:rFonts w:hint="default"/>
        </w:rPr>
        <w:br w:type="textWrapping"/>
      </w:r>
      <w:r>
        <w:rPr>
          <w:rFonts w:hint="default"/>
        </w:rPr>
        <w:t>　　附件：品种名单及药品说明书修订建议</w:t>
      </w:r>
    </w:p>
    <w:p w14:paraId="21A73C02">
      <w:pPr>
        <w:rPr/>
      </w:pPr>
      <w:r>
        <w:rPr>
          <w:rFonts w:hint="default"/>
        </w:rPr>
        <w:t>　　国家药监局</w:t>
      </w:r>
    </w:p>
    <w:p w14:paraId="61C3FA53">
      <w:pPr>
        <w:rPr/>
      </w:pPr>
      <w:r>
        <w:rPr>
          <w:rFonts w:hint="default"/>
        </w:rPr>
        <w:t>　　2025年12月9日</w:t>
      </w:r>
    </w:p>
    <w:p w14:paraId="0CC850BA">
      <w:pPr>
        <w:rPr>
          <w:rFonts w:hint="default"/>
        </w:rPr>
      </w:pPr>
      <w:r>
        <w:rPr>
          <w:rFonts w:hint="default"/>
        </w:rPr>
        <w:drawing>
          <wp:inline distT="0" distB="0" distL="114300" distR="114300">
            <wp:extent cx="152400" cy="152400"/>
            <wp:effectExtent l="0" t="0" r="0" b="0"/>
            <wp:docPr id="24" name="图片 24"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261"/>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rPr>
        <w:fldChar w:fldCharType="begin"/>
      </w:r>
      <w:r>
        <w:rPr>
          <w:rFonts w:hint="default"/>
        </w:rPr>
        <w:instrText xml:space="preserve"> HYPERLINK "https://www.nmpa.gov.cn/directory/web/nmpa/images/1765434534309037606.docx" \o "国家药品监督管理局2025年第118号公告附件.docx" </w:instrText>
      </w:r>
      <w:r>
        <w:rPr>
          <w:rFonts w:hint="default"/>
        </w:rPr>
        <w:fldChar w:fldCharType="separate"/>
      </w:r>
      <w:r>
        <w:rPr>
          <w:rFonts w:hint="default"/>
        </w:rPr>
        <w:t>国家药品监督管理局2025年第118号公告附件.docx</w:t>
      </w:r>
      <w:r>
        <w:rPr>
          <w:rFonts w:hint="default"/>
        </w:rPr>
        <w:fldChar w:fldCharType="end"/>
      </w:r>
    </w:p>
    <w:p w14:paraId="7FD7208B">
      <w:pPr>
        <w:rPr>
          <w:rFonts w:hint="default"/>
        </w:rPr>
      </w:pPr>
    </w:p>
    <w:p w14:paraId="7D37C7FB">
      <w:pPr>
        <w:rPr>
          <w:rFonts w:hint="default"/>
        </w:rPr>
      </w:pPr>
    </w:p>
    <w:p w14:paraId="1909D634">
      <w:pPr>
        <w:rPr>
          <w:rFonts w:hint="default"/>
        </w:rPr>
      </w:pPr>
    </w:p>
    <w:p w14:paraId="5E119574">
      <w:pPr>
        <w:rPr>
          <w:rFonts w:hint="default"/>
        </w:rPr>
      </w:pPr>
    </w:p>
    <w:p w14:paraId="05788E69">
      <w:pPr>
        <w:rPr>
          <w:rFonts w:hint="default"/>
        </w:rPr>
      </w:pPr>
    </w:p>
    <w:p w14:paraId="3E3611A6">
      <w:pPr>
        <w:rPr>
          <w:rFonts w:hint="default"/>
        </w:rPr>
      </w:pPr>
    </w:p>
    <w:p w14:paraId="42021F50">
      <w:pPr>
        <w:rPr>
          <w:rFonts w:hint="default"/>
        </w:rPr>
      </w:pPr>
    </w:p>
    <w:p w14:paraId="40C680DE">
      <w:pPr>
        <w:rPr>
          <w:rFonts w:hint="default"/>
        </w:rPr>
      </w:pPr>
    </w:p>
    <w:p w14:paraId="3FD88191">
      <w:pPr>
        <w:rPr>
          <w:rFonts w:hint="default"/>
        </w:rPr>
      </w:pPr>
    </w:p>
    <w:p w14:paraId="636C7AE8">
      <w:pPr>
        <w:rPr>
          <w:rFonts w:hint="default"/>
        </w:rPr>
      </w:pPr>
    </w:p>
    <w:p w14:paraId="2330AA48">
      <w:pPr>
        <w:rPr>
          <w:rFonts w:hint="default"/>
        </w:rPr>
      </w:pPr>
    </w:p>
    <w:p w14:paraId="1066041C">
      <w:pPr>
        <w:rPr>
          <w:rFonts w:hint="default"/>
        </w:rPr>
      </w:pPr>
    </w:p>
    <w:p w14:paraId="710C0328">
      <w:pPr>
        <w:rPr>
          <w:rFonts w:hint="default"/>
        </w:rPr>
      </w:pPr>
    </w:p>
    <w:p w14:paraId="24F19128">
      <w:pPr>
        <w:rPr>
          <w:rFonts w:hint="default"/>
        </w:rPr>
      </w:pPr>
    </w:p>
    <w:p w14:paraId="7A9AF81B">
      <w:pPr>
        <w:rPr>
          <w:rFonts w:hint="default"/>
        </w:rPr>
      </w:pPr>
    </w:p>
    <w:p w14:paraId="7FDFF90B">
      <w:pPr>
        <w:rPr>
          <w:rFonts w:hint="default"/>
        </w:rPr>
      </w:pPr>
    </w:p>
    <w:p w14:paraId="5E33F1F3">
      <w:pPr>
        <w:rPr>
          <w:rFonts w:hint="default"/>
        </w:rPr>
      </w:pPr>
    </w:p>
    <w:p w14:paraId="17CC44B6">
      <w:pPr>
        <w:rPr>
          <w:rFonts w:hint="default"/>
        </w:rPr>
      </w:pPr>
    </w:p>
    <w:p w14:paraId="592841AC">
      <w:pPr>
        <w:rPr>
          <w:rFonts w:hint="default"/>
        </w:rPr>
      </w:pPr>
    </w:p>
    <w:p w14:paraId="2CC2FC3C">
      <w:pPr>
        <w:rPr>
          <w:rFonts w:hint="default"/>
        </w:rPr>
      </w:pPr>
    </w:p>
    <w:p w14:paraId="10B13859">
      <w:pPr>
        <w:rPr>
          <w:rFonts w:hint="default"/>
        </w:rPr>
      </w:pPr>
    </w:p>
    <w:p w14:paraId="01101B01">
      <w:pPr>
        <w:rPr>
          <w:rFonts w:hint="default"/>
        </w:rPr>
      </w:pPr>
    </w:p>
    <w:p w14:paraId="65274540">
      <w:pPr>
        <w:rPr>
          <w:rFonts w:hint="default"/>
        </w:rPr>
      </w:pPr>
    </w:p>
    <w:p w14:paraId="43416CDA">
      <w:pPr>
        <w:rPr>
          <w:rFonts w:hint="default"/>
        </w:rPr>
      </w:pPr>
    </w:p>
    <w:p w14:paraId="0E65022D">
      <w:pPr>
        <w:rPr>
          <w:rFonts w:hint="default"/>
        </w:rPr>
      </w:pPr>
    </w:p>
    <w:p w14:paraId="74784860">
      <w:pPr>
        <w:rPr>
          <w:rFonts w:hint="default"/>
        </w:rPr>
      </w:pPr>
    </w:p>
    <w:p w14:paraId="0BE6FBBC">
      <w:pPr>
        <w:rPr>
          <w:rFonts w:hint="default"/>
        </w:rPr>
      </w:pPr>
    </w:p>
    <w:p w14:paraId="23E49755">
      <w:pPr>
        <w:rPr>
          <w:rFonts w:hint="eastAsia" w:ascii="黑体" w:hAnsi="华文仿宋" w:eastAsia="黑体"/>
          <w:sz w:val="32"/>
          <w:szCs w:val="32"/>
        </w:rPr>
      </w:pPr>
      <w:r>
        <w:rPr>
          <w:rFonts w:hint="eastAsia" w:ascii="黑体" w:hAnsi="华文仿宋" w:eastAsia="黑体"/>
          <w:sz w:val="32"/>
          <w:szCs w:val="32"/>
        </w:rPr>
        <w:t>附件</w:t>
      </w:r>
    </w:p>
    <w:p w14:paraId="75B9C0F3">
      <w:pPr>
        <w:spacing w:line="600" w:lineRule="exact"/>
        <w:ind w:right="160"/>
        <w:jc w:val="center"/>
        <w:rPr>
          <w:rFonts w:hint="eastAsia" w:eastAsia="黑体"/>
          <w:sz w:val="32"/>
          <w:szCs w:val="32"/>
        </w:rPr>
      </w:pPr>
      <w:r>
        <w:rPr>
          <w:rFonts w:hint="eastAsia" w:eastAsia="方正小标宋简体"/>
          <w:sz w:val="44"/>
          <w:szCs w:val="44"/>
        </w:rPr>
        <w:t>品种名单</w:t>
      </w:r>
      <w:r>
        <w:rPr>
          <w:rFonts w:hint="eastAsia" w:eastAsia="方正小标宋简体"/>
          <w:sz w:val="44"/>
          <w:szCs w:val="44"/>
          <w:lang w:eastAsia="zh-CN"/>
        </w:rPr>
        <w:t>及</w:t>
      </w:r>
      <w:r>
        <w:rPr>
          <w:rFonts w:hint="eastAsia" w:eastAsia="方正小标宋简体"/>
          <w:sz w:val="44"/>
          <w:szCs w:val="44"/>
        </w:rPr>
        <w:t>药品说明书修订建议</w:t>
      </w:r>
    </w:p>
    <w:p w14:paraId="38728680"/>
    <w:tbl>
      <w:tblPr>
        <w:tblStyle w:val="8"/>
        <w:tblpPr w:leftFromText="180" w:rightFromText="180" w:vertAnchor="text" w:tblpXSpec="center" w:tblpY="1"/>
        <w:tblOverlap w:val="never"/>
        <w:tblW w:w="557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57" w:type="dxa"/>
          <w:left w:w="57" w:type="dxa"/>
          <w:bottom w:w="57" w:type="dxa"/>
          <w:right w:w="57" w:type="dxa"/>
        </w:tblCellMar>
      </w:tblPr>
      <w:tblGrid>
        <w:gridCol w:w="1634"/>
        <w:gridCol w:w="3539"/>
        <w:gridCol w:w="4215"/>
      </w:tblGrid>
      <w:tr w14:paraId="2E2AE6A8">
        <w:trPr>
          <w:trHeight w:val="517" w:hRule="atLeast"/>
        </w:trPr>
        <w:tc>
          <w:tcPr>
            <w:tcW w:w="5000" w:type="pct"/>
            <w:gridSpan w:val="3"/>
            <w:tcBorders>
              <w:top w:val="single" w:color="000000" w:sz="2" w:space="0"/>
              <w:left w:val="single" w:color="000000" w:sz="2" w:space="0"/>
              <w:bottom w:val="single" w:color="000000" w:sz="2" w:space="0"/>
              <w:right w:val="single" w:color="000000" w:sz="2" w:space="0"/>
            </w:tcBorders>
            <w:noWrap w:val="0"/>
            <w:vAlign w:val="top"/>
          </w:tcPr>
          <w:p w14:paraId="60073A56">
            <w:pPr>
              <w:widowControl/>
              <w:spacing w:before="134" w:line="216" w:lineRule="auto"/>
              <w:ind w:left="132"/>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spacing w:val="-9"/>
                <w:kern w:val="0"/>
                <w:sz w:val="24"/>
                <w:szCs w:val="20"/>
              </w:rPr>
              <w:t>活性成分：马来酸依那普利</w:t>
            </w:r>
          </w:p>
        </w:tc>
      </w:tr>
      <w:tr w14:paraId="25C6A93D">
        <w:trPr>
          <w:trHeight w:val="422" w:hRule="atLeast"/>
        </w:trPr>
        <w:tc>
          <w:tcPr>
            <w:tcW w:w="5000" w:type="pct"/>
            <w:gridSpan w:val="3"/>
            <w:tcBorders>
              <w:top w:val="single" w:color="000000" w:sz="2" w:space="0"/>
              <w:left w:val="single" w:color="000000" w:sz="2" w:space="0"/>
              <w:bottom w:val="single" w:color="000000" w:sz="2" w:space="0"/>
              <w:right w:val="single" w:color="000000" w:sz="2" w:space="0"/>
            </w:tcBorders>
            <w:noWrap w:val="0"/>
            <w:vAlign w:val="top"/>
          </w:tcPr>
          <w:p w14:paraId="042A12DD">
            <w:pPr>
              <w:widowControl/>
              <w:spacing w:before="89" w:line="216" w:lineRule="auto"/>
              <w:ind w:left="119"/>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spacing w:val="-9"/>
                <w:kern w:val="0"/>
                <w:sz w:val="24"/>
                <w:szCs w:val="20"/>
              </w:rPr>
              <w:t>剂    型</w:t>
            </w:r>
            <w:r>
              <w:rPr>
                <w:rFonts w:hint="default" w:ascii="Times New Roman" w:hAnsi="Times New Roman" w:eastAsia="仿宋_GB2312" w:cs="Times New Roman"/>
                <w:spacing w:val="-1"/>
                <w:kern w:val="0"/>
                <w:sz w:val="24"/>
                <w:szCs w:val="20"/>
              </w:rPr>
              <w:t>：</w:t>
            </w:r>
            <w:r>
              <w:rPr>
                <w:rFonts w:hint="default" w:ascii="Times New Roman" w:hAnsi="Times New Roman" w:eastAsia="仿宋_GB2312" w:cs="Times New Roman"/>
                <w:spacing w:val="-9"/>
                <w:kern w:val="0"/>
                <w:sz w:val="24"/>
                <w:szCs w:val="20"/>
              </w:rPr>
              <w:t>口服溶液</w:t>
            </w:r>
          </w:p>
        </w:tc>
      </w:tr>
      <w:tr w14:paraId="4E9513B9">
        <w:trPr>
          <w:trHeight w:val="421" w:hRule="atLeast"/>
        </w:trPr>
        <w:tc>
          <w:tcPr>
            <w:tcW w:w="5000" w:type="pct"/>
            <w:gridSpan w:val="3"/>
            <w:tcBorders>
              <w:top w:val="single" w:color="000000" w:sz="2" w:space="0"/>
              <w:left w:val="single" w:color="000000" w:sz="2" w:space="0"/>
              <w:bottom w:val="single" w:color="000000" w:sz="2" w:space="0"/>
              <w:right w:val="single" w:color="000000" w:sz="2" w:space="0"/>
            </w:tcBorders>
            <w:noWrap w:val="0"/>
            <w:vAlign w:val="top"/>
          </w:tcPr>
          <w:p w14:paraId="02AD0C55">
            <w:pPr>
              <w:widowControl/>
              <w:spacing w:before="88" w:line="216" w:lineRule="auto"/>
              <w:ind w:left="126"/>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spacing w:val="-9"/>
                <w:kern w:val="0"/>
                <w:sz w:val="24"/>
                <w:szCs w:val="20"/>
              </w:rPr>
              <w:t>规    格</w:t>
            </w:r>
            <w:r>
              <w:rPr>
                <w:rFonts w:hint="default" w:ascii="Times New Roman" w:hAnsi="Times New Roman" w:eastAsia="仿宋_GB2312" w:cs="Times New Roman"/>
                <w:spacing w:val="-6"/>
                <w:kern w:val="0"/>
                <w:sz w:val="24"/>
                <w:szCs w:val="20"/>
              </w:rPr>
              <w:t>：</w:t>
            </w:r>
            <w:r>
              <w:rPr>
                <w:rFonts w:hint="default" w:ascii="Times New Roman" w:hAnsi="Times New Roman" w:eastAsia="仿宋_GB2312" w:cs="Times New Roman"/>
                <w:spacing w:val="-9"/>
                <w:kern w:val="0"/>
                <w:sz w:val="24"/>
                <w:szCs w:val="20"/>
              </w:rPr>
              <w:t>150ml:0.15</w:t>
            </w:r>
            <w:r>
              <w:rPr>
                <w:rFonts w:hint="default" w:ascii="Times New Roman" w:hAnsi="Times New Roman" w:eastAsia="仿宋_GB2312" w:cs="Times New Roman"/>
                <w:spacing w:val="-9"/>
                <w:kern w:val="0"/>
                <w:sz w:val="24"/>
                <w:szCs w:val="20"/>
                <w:lang w:val="en-US"/>
              </w:rPr>
              <w:t>g</w:t>
            </w:r>
          </w:p>
        </w:tc>
      </w:tr>
      <w:tr w14:paraId="4618CAC8">
        <w:trPr>
          <w:trHeight w:val="455" w:hRule="atLeast"/>
        </w:trPr>
        <w:tc>
          <w:tcPr>
            <w:tcW w:w="5000" w:type="pct"/>
            <w:gridSpan w:val="3"/>
            <w:tcBorders>
              <w:top w:val="single" w:color="000000" w:sz="2" w:space="0"/>
              <w:left w:val="single" w:color="000000" w:sz="2" w:space="0"/>
              <w:bottom w:val="single" w:color="000000" w:sz="2" w:space="0"/>
              <w:right w:val="single" w:color="000000" w:sz="2" w:space="0"/>
            </w:tcBorders>
            <w:noWrap w:val="0"/>
            <w:vAlign w:val="top"/>
          </w:tcPr>
          <w:p w14:paraId="70289E74">
            <w:pPr>
              <w:widowControl/>
              <w:spacing w:before="104" w:line="216" w:lineRule="auto"/>
              <w:ind w:left="3191"/>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spacing w:val="-2"/>
                <w:kern w:val="0"/>
                <w:sz w:val="24"/>
                <w:szCs w:val="20"/>
              </w:rPr>
              <w:t>药品说明书修订建议</w:t>
            </w:r>
          </w:p>
        </w:tc>
      </w:tr>
      <w:tr w14:paraId="6FF5C6ED">
        <w:trPr>
          <w:trHeight w:val="474" w:hRule="atLeast"/>
        </w:trPr>
        <w:tc>
          <w:tcPr>
            <w:tcW w:w="870" w:type="pct"/>
            <w:tcBorders>
              <w:top w:val="single" w:color="000000" w:sz="2" w:space="0"/>
              <w:left w:val="single" w:color="000000" w:sz="2" w:space="0"/>
              <w:bottom w:val="single" w:color="000000" w:sz="2" w:space="0"/>
              <w:right w:val="single" w:color="000000" w:sz="2" w:space="0"/>
            </w:tcBorders>
            <w:noWrap w:val="0"/>
            <w:vAlign w:val="top"/>
          </w:tcPr>
          <w:p w14:paraId="17213E74">
            <w:pPr>
              <w:widowControl/>
              <w:jc w:val="left"/>
              <w:rPr>
                <w:rFonts w:hint="default" w:ascii="Times New Roman" w:hAnsi="Times New Roman" w:eastAsia="仿宋_GB2312" w:cs="Times New Roman"/>
                <w:kern w:val="0"/>
                <w:sz w:val="24"/>
                <w:szCs w:val="20"/>
              </w:rPr>
            </w:pPr>
          </w:p>
        </w:tc>
        <w:tc>
          <w:tcPr>
            <w:tcW w:w="1885" w:type="pct"/>
            <w:tcBorders>
              <w:top w:val="single" w:color="000000" w:sz="2" w:space="0"/>
              <w:left w:val="single" w:color="000000" w:sz="2" w:space="0"/>
              <w:bottom w:val="single" w:color="000000" w:sz="2" w:space="0"/>
              <w:right w:val="single" w:color="000000" w:sz="2" w:space="0"/>
            </w:tcBorders>
            <w:noWrap w:val="0"/>
            <w:vAlign w:val="top"/>
          </w:tcPr>
          <w:p w14:paraId="71842AC0">
            <w:pPr>
              <w:widowControl/>
              <w:spacing w:before="119" w:line="216" w:lineRule="auto"/>
              <w:ind w:left="144"/>
              <w:jc w:val="left"/>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修订前</w:t>
            </w:r>
          </w:p>
        </w:tc>
        <w:tc>
          <w:tcPr>
            <w:tcW w:w="2245" w:type="pct"/>
            <w:tcBorders>
              <w:top w:val="single" w:color="000000" w:sz="2" w:space="0"/>
              <w:left w:val="single" w:color="000000" w:sz="2" w:space="0"/>
              <w:bottom w:val="single" w:color="000000" w:sz="2" w:space="0"/>
              <w:right w:val="single" w:color="000000" w:sz="2" w:space="0"/>
            </w:tcBorders>
            <w:noWrap w:val="0"/>
            <w:vAlign w:val="top"/>
          </w:tcPr>
          <w:p w14:paraId="3E8A24ED">
            <w:pPr>
              <w:widowControl/>
              <w:spacing w:before="115" w:line="216" w:lineRule="auto"/>
              <w:ind w:left="155" w:firstLine="1560" w:firstLineChars="650"/>
              <w:jc w:val="left"/>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修订后</w:t>
            </w:r>
          </w:p>
        </w:tc>
      </w:tr>
      <w:tr w14:paraId="2444AF37">
        <w:trPr>
          <w:trHeight w:val="474" w:hRule="atLeast"/>
        </w:trPr>
        <w:tc>
          <w:tcPr>
            <w:tcW w:w="870" w:type="pct"/>
            <w:tcBorders>
              <w:top w:val="single" w:color="000000" w:sz="2" w:space="0"/>
              <w:left w:val="single" w:color="000000" w:sz="2" w:space="0"/>
              <w:bottom w:val="single" w:color="000000" w:sz="2" w:space="0"/>
              <w:right w:val="single" w:color="000000" w:sz="2" w:space="0"/>
            </w:tcBorders>
            <w:noWrap w:val="0"/>
            <w:vAlign w:val="center"/>
          </w:tcPr>
          <w:p w14:paraId="57B62ACF">
            <w:pPr>
              <w:widowControl/>
              <w:spacing w:before="78" w:line="216" w:lineRule="auto"/>
              <w:jc w:val="center"/>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【适应症】</w:t>
            </w:r>
          </w:p>
        </w:tc>
        <w:tc>
          <w:tcPr>
            <w:tcW w:w="1885" w:type="pct"/>
            <w:tcBorders>
              <w:top w:val="single" w:color="000000" w:sz="2" w:space="0"/>
              <w:left w:val="single" w:color="000000" w:sz="2" w:space="0"/>
              <w:bottom w:val="single" w:color="000000" w:sz="2" w:space="0"/>
              <w:right w:val="single" w:color="000000" w:sz="2" w:space="0"/>
            </w:tcBorders>
            <w:noWrap w:val="0"/>
            <w:vAlign w:val="center"/>
          </w:tcPr>
          <w:p w14:paraId="23157C09">
            <w:pPr>
              <w:widowControl/>
              <w:jc w:val="center"/>
              <w:rPr>
                <w:rFonts w:hint="default" w:ascii="Times New Roman" w:hAnsi="Times New Roman" w:eastAsia="仿宋_GB2312" w:cs="Times New Roman"/>
                <w:kern w:val="0"/>
                <w:sz w:val="24"/>
                <w:szCs w:val="20"/>
              </w:rPr>
            </w:pPr>
          </w:p>
          <w:p w14:paraId="6F4B4DDD">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高血压。</w:t>
            </w:r>
          </w:p>
        </w:tc>
        <w:tc>
          <w:tcPr>
            <w:tcW w:w="2245" w:type="pct"/>
            <w:tcBorders>
              <w:top w:val="single" w:color="000000" w:sz="2" w:space="0"/>
              <w:left w:val="single" w:color="000000" w:sz="2" w:space="0"/>
              <w:bottom w:val="single" w:color="000000" w:sz="2" w:space="0"/>
              <w:right w:val="single" w:color="000000" w:sz="2" w:space="0"/>
            </w:tcBorders>
            <w:noWrap w:val="0"/>
            <w:vAlign w:val="center"/>
          </w:tcPr>
          <w:p w14:paraId="40E4C1A2">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治疗高血压，</w:t>
            </w:r>
            <w:r>
              <w:rPr>
                <w:rFonts w:hint="default" w:ascii="Times New Roman" w:hAnsi="Times New Roman" w:eastAsia="仿宋_GB2312" w:cs="Times New Roman"/>
                <w:b/>
                <w:kern w:val="0"/>
                <w:sz w:val="24"/>
                <w:szCs w:val="20"/>
              </w:rPr>
              <w:t>降低成人及一个月以上儿童高血压患者血压。</w:t>
            </w:r>
          </w:p>
        </w:tc>
      </w:tr>
      <w:tr w14:paraId="727316DA">
        <w:trPr>
          <w:trHeight w:val="476" w:hRule="atLeast"/>
        </w:trPr>
        <w:tc>
          <w:tcPr>
            <w:tcW w:w="870" w:type="pct"/>
            <w:tcBorders>
              <w:top w:val="single" w:color="000000" w:sz="2" w:space="0"/>
              <w:left w:val="single" w:color="000000" w:sz="2" w:space="0"/>
              <w:bottom w:val="single" w:color="000000" w:sz="2" w:space="0"/>
              <w:right w:val="single" w:color="000000" w:sz="2" w:space="0"/>
            </w:tcBorders>
            <w:noWrap w:val="0"/>
            <w:vAlign w:val="center"/>
          </w:tcPr>
          <w:p w14:paraId="0C68EBA3">
            <w:pPr>
              <w:widowControl/>
              <w:spacing w:before="78" w:line="216" w:lineRule="auto"/>
              <w:jc w:val="center"/>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【用法用量】</w:t>
            </w:r>
          </w:p>
        </w:tc>
        <w:tc>
          <w:tcPr>
            <w:tcW w:w="1885" w:type="pct"/>
            <w:tcBorders>
              <w:top w:val="single" w:color="000000" w:sz="2" w:space="0"/>
              <w:left w:val="single" w:color="000000" w:sz="2" w:space="0"/>
              <w:bottom w:val="single" w:color="000000" w:sz="2" w:space="0"/>
              <w:right w:val="single" w:color="000000" w:sz="2" w:space="0"/>
            </w:tcBorders>
            <w:noWrap w:val="0"/>
            <w:vAlign w:val="center"/>
          </w:tcPr>
          <w:p w14:paraId="5374ED1E">
            <w:pPr>
              <w:widowControl/>
              <w:jc w:val="center"/>
              <w:rPr>
                <w:rFonts w:hint="default" w:ascii="Times New Roman" w:hAnsi="Times New Roman" w:eastAsia="仿宋_GB2312" w:cs="Times New Roman"/>
                <w:kern w:val="0"/>
                <w:sz w:val="24"/>
                <w:szCs w:val="20"/>
              </w:rPr>
            </w:pPr>
          </w:p>
          <w:p w14:paraId="2F739A21">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建议成人初始剂量为每日5mg，每日一次服用。可根据需要逐渐增加到最大剂量每日40mg以实现降压目标。如果出现给药时间间隔末端降压效果减弱则可将每</w:t>
            </w:r>
            <w:r>
              <w:rPr>
                <w:rFonts w:hint="default" w:ascii="Times New Roman" w:hAnsi="Times New Roman" w:eastAsia="仿宋_GB2312" w:cs="Times New Roman"/>
                <w:kern w:val="0"/>
                <w:sz w:val="22"/>
                <w:szCs w:val="20"/>
              </w:rPr>
              <w:t>日</w:t>
            </w:r>
            <w:r>
              <w:rPr>
                <w:rFonts w:hint="default" w:ascii="Times New Roman" w:hAnsi="Times New Roman" w:eastAsia="仿宋_GB2312" w:cs="Times New Roman"/>
                <w:kern w:val="0"/>
                <w:sz w:val="24"/>
                <w:szCs w:val="20"/>
              </w:rPr>
              <w:t>剂量药分成每天两次服用。</w:t>
            </w:r>
          </w:p>
          <w:p w14:paraId="45F51453">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与利尿剂一起使用：如果需要达到更大的降压效果，本品可以和低剂量的利尿剂联用，建议使用利尿剂患者初始剂量每日2.5mg。</w:t>
            </w:r>
          </w:p>
          <w:p w14:paraId="1CF07F41">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正常或轻度肾功能受损患者（＞30mL/min）5mg/日；</w:t>
            </w:r>
          </w:p>
          <w:p w14:paraId="2D55B7D1">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中度至严重肾功能受损（≤30 mL/min）2.5mg/日；透析患者，透析期2.5mg，剂量在非透析期间应根据血压反应调整。</w:t>
            </w:r>
          </w:p>
        </w:tc>
        <w:tc>
          <w:tcPr>
            <w:tcW w:w="2245" w:type="pct"/>
            <w:tcBorders>
              <w:top w:val="single" w:color="000000" w:sz="2" w:space="0"/>
              <w:left w:val="single" w:color="000000" w:sz="2" w:space="0"/>
              <w:bottom w:val="single" w:color="000000" w:sz="2" w:space="0"/>
              <w:right w:val="single" w:color="000000" w:sz="2" w:space="0"/>
            </w:tcBorders>
            <w:noWrap w:val="0"/>
            <w:vAlign w:val="center"/>
          </w:tcPr>
          <w:p w14:paraId="2D474F20">
            <w:pPr>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建议成人初始剂量为每日5mg，每日一次服用。可根据需要逐渐增加到最大剂量每日40mg以实现降压目标。如果出现给药时间间隔末端降压效果减弱则可将每日剂量药分成每天两次服用。</w:t>
            </w:r>
          </w:p>
          <w:p w14:paraId="6D9E8794">
            <w:pPr>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与利尿剂一起使用：如果需要达到更大的降压效果，本品可以和低剂量的利尿剂联用，建议使用利尿剂患者初始剂量每日2.5mg。</w:t>
            </w:r>
          </w:p>
          <w:p w14:paraId="6B4EA849">
            <w:pPr>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正常或轻度肾功能受损患者（＞30mL/min）5mg/日;中度至严重肾功能受损（≤30 mL/min）2.5mg/日；透析患者，透析期2.5mg，剂量在非透析期间应根据血压反应调整。</w:t>
            </w:r>
          </w:p>
          <w:p w14:paraId="4929C793">
            <w:pPr>
              <w:widowControl/>
              <w:jc w:val="left"/>
              <w:rPr>
                <w:rFonts w:hint="default" w:ascii="Times New Roman" w:hAnsi="Times New Roman" w:eastAsia="仿宋_GB2312" w:cs="Times New Roman"/>
                <w:b/>
                <w:bCs/>
                <w:kern w:val="0"/>
                <w:sz w:val="24"/>
                <w:szCs w:val="20"/>
              </w:rPr>
            </w:pPr>
            <w:r>
              <w:rPr>
                <w:rFonts w:hint="default" w:ascii="Times New Roman" w:hAnsi="Times New Roman" w:eastAsia="仿宋_GB2312" w:cs="Times New Roman"/>
                <w:b/>
                <w:bCs/>
                <w:kern w:val="0"/>
                <w:sz w:val="24"/>
                <w:szCs w:val="20"/>
              </w:rPr>
              <w:t>大于1个月儿童：一般建议初始剂量为每日0.08mg/kg（最大5mg），每日一次服用。根据血压反应调整剂量。剂量0.58mg/kg以上(或超过40mg)尚未在儿科患者中进行研究。</w:t>
            </w:r>
          </w:p>
          <w:p w14:paraId="14C40C83">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b/>
                <w:bCs/>
                <w:kern w:val="0"/>
                <w:sz w:val="24"/>
                <w:szCs w:val="20"/>
              </w:rPr>
              <w:t>由于无相关数据，不推荐用于新生儿(即出生1个月或不足1个月的婴儿)、受孕后校正年龄未达到44周的早产儿以及肾小球滤过率＜30mL/min/1.73m</w:t>
            </w:r>
            <w:r>
              <w:rPr>
                <w:rFonts w:hint="default" w:ascii="Times New Roman" w:hAnsi="Times New Roman" w:eastAsia="仿宋_GB2312" w:cs="Times New Roman"/>
                <w:b/>
                <w:bCs/>
                <w:kern w:val="0"/>
                <w:sz w:val="24"/>
                <w:szCs w:val="20"/>
                <w:vertAlign w:val="superscript"/>
              </w:rPr>
              <w:t>2</w:t>
            </w:r>
            <w:r>
              <w:rPr>
                <w:rFonts w:hint="default" w:ascii="Times New Roman" w:hAnsi="Times New Roman" w:eastAsia="仿宋_GB2312" w:cs="Times New Roman"/>
                <w:b/>
                <w:bCs/>
                <w:kern w:val="0"/>
                <w:sz w:val="24"/>
                <w:szCs w:val="20"/>
              </w:rPr>
              <w:t>的患儿。</w:t>
            </w:r>
          </w:p>
        </w:tc>
      </w:tr>
    </w:tbl>
    <w:p w14:paraId="637068A8"/>
    <w:p w14:paraId="1A528ADE">
      <w:pPr>
        <w:rPr>
          <w:rFonts w:hint="default"/>
        </w:rPr>
      </w:pPr>
    </w:p>
    <w:p w14:paraId="2B569EC9">
      <w:pPr>
        <w:rPr/>
      </w:pPr>
      <w:r>
        <w:rPr>
          <w:rFonts w:hint="default"/>
        </w:rPr>
        <w:t> </w:t>
      </w:r>
    </w:p>
    <w:p w14:paraId="18CA1C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FAB6B"/>
    <w:rsid w:val="7BFFAB6B"/>
    <w:rsid w:val="F6D7D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 w:type="table" w:customStyle="1" w:styleId="8">
    <w:name w:val="Table Normal"/>
    <w:semiHidden/>
    <w:qFormat/>
    <w:uiPriority w:val="0"/>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2026-01-11T19:17:00Z</dcterms:created>
  <dc:creator>彭天曜律师</dc:creator>
  <cp:lastModifiedBy>彭天曜律师</cp:lastModifiedBy>
  <dcterms:modified xsi:type="dcterms:W3CDTF">2026-01-11T19:21:27Z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A181064760782937B7876369EC5A441B_43</vt:lpwstr>
  </property>
</Properties>
</file>