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EA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0"/>
        <w:jc w:val="center"/>
        <w:rPr>
          <w:rFonts w:ascii="PingFang SC" w:hAnsi="PingFang SC" w:eastAsia="PingFang SC" w:cs="PingFang SC"/>
          <w:i w:val="0"/>
          <w:iCs w:val="0"/>
          <w:caps w:val="0"/>
          <w:color w:val="1966A7"/>
          <w:spacing w:val="0"/>
          <w:sz w:val="48"/>
          <w:szCs w:val="48"/>
          <w:u w:val="none"/>
        </w:rPr>
      </w:pPr>
      <w:r>
        <w:rPr>
          <w:rFonts w:hint="eastAsia" w:ascii="PingFang SC" w:hAnsi="PingFang SC" w:eastAsia="PingFang SC" w:cs="PingFang SC"/>
          <w:i w:val="0"/>
          <w:iCs w:val="0"/>
          <w:caps w:val="0"/>
          <w:color w:val="1966A7"/>
          <w:spacing w:val="0"/>
          <w:kern w:val="0"/>
          <w:sz w:val="48"/>
          <w:szCs w:val="48"/>
          <w:u w:val="none"/>
          <w:bdr w:val="none" w:color="auto" w:sz="0" w:space="0"/>
          <w:lang w:val="en-US" w:eastAsia="zh-CN" w:bidi="ar"/>
        </w:rPr>
        <w:t>国家卫生健康委办公厅关于印发基层慢性病健康管理服务能力建设指引的通知</w:t>
      </w:r>
    </w:p>
    <w:p w14:paraId="48AB19E5">
      <w:pPr>
        <w:keepNext w:val="0"/>
        <w:keepLines w:val="0"/>
        <w:widowControl/>
        <w:suppressLineNumbers w:val="0"/>
        <w:pBdr>
          <w:top w:val="none" w:color="auto" w:sz="0" w:space="0"/>
          <w:left w:val="none" w:color="auto" w:sz="0" w:space="0"/>
          <w:bottom w:val="single" w:color="E5E5E5" w:sz="8" w:space="0"/>
          <w:right w:val="none" w:color="auto" w:sz="0" w:space="0"/>
        </w:pBdr>
        <w:spacing w:before="0" w:beforeAutospacing="0" w:after="0" w:afterAutospacing="0"/>
        <w:ind w:left="0" w:right="0" w:firstLine="0"/>
        <w:jc w:val="center"/>
        <w:rPr>
          <w:rFonts w:hint="eastAsia" w:ascii="PingFang SC" w:hAnsi="PingFang SC" w:eastAsia="PingFang SC" w:cs="PingFang SC"/>
          <w:i w:val="0"/>
          <w:iCs w:val="0"/>
          <w:caps w:val="0"/>
          <w:color w:val="484848"/>
          <w:spacing w:val="0"/>
          <w:sz w:val="20"/>
          <w:szCs w:val="20"/>
          <w:u w:val="none"/>
        </w:rPr>
      </w:pPr>
      <w:bookmarkStart w:id="0" w:name="_GoBack"/>
      <w:bookmarkEnd w:id="0"/>
    </w:p>
    <w:p w14:paraId="4240C790">
      <w:pPr>
        <w:keepNext w:val="0"/>
        <w:keepLines w:val="0"/>
        <w:widowControl/>
        <w:suppressLineNumbers w:val="0"/>
        <w:pBdr>
          <w:top w:val="none" w:color="auto" w:sz="0" w:space="0"/>
          <w:left w:val="none" w:color="auto" w:sz="0" w:space="0"/>
          <w:bottom w:val="single" w:color="E5E5E5" w:sz="8" w:space="0"/>
          <w:right w:val="none" w:color="auto" w:sz="0" w:space="0"/>
        </w:pBdr>
        <w:spacing w:before="360" w:beforeAutospacing="0" w:after="0" w:afterAutospacing="0"/>
        <w:ind w:left="0" w:right="0" w:firstLine="0"/>
        <w:jc w:val="center"/>
        <w:rPr>
          <w:rFonts w:hint="eastAsia" w:ascii="PingFang SC" w:hAnsi="PingFang SC" w:eastAsia="PingFang SC" w:cs="PingFang SC"/>
          <w:i w:val="0"/>
          <w:iCs w:val="0"/>
          <w:caps w:val="0"/>
          <w:color w:val="484848"/>
          <w:spacing w:val="0"/>
          <w:sz w:val="20"/>
          <w:szCs w:val="20"/>
          <w:u w:val="none"/>
        </w:rPr>
      </w:pPr>
      <w:r>
        <w:rPr>
          <w:rFonts w:hint="default" w:ascii="微软雅黑" w:hAnsi="微软雅黑" w:eastAsia="微软雅黑" w:cs="微软雅黑"/>
          <w:i w:val="0"/>
          <w:iCs w:val="0"/>
          <w:caps w:val="0"/>
          <w:color w:val="979797"/>
          <w:spacing w:val="0"/>
          <w:kern w:val="0"/>
          <w:sz w:val="24"/>
          <w:szCs w:val="24"/>
          <w:u w:val="none"/>
          <w:bdr w:val="none" w:color="auto" w:sz="0" w:space="0"/>
          <w:lang w:val="en-US" w:eastAsia="zh-CN" w:bidi="ar"/>
        </w:rPr>
        <w:t>发布时间： 2025-11-20 来源: 基层卫生健康司</w:t>
      </w:r>
    </w:p>
    <w:p w14:paraId="568EE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国卫办基层函〔2025〕439号</w:t>
      </w:r>
    </w:p>
    <w:p w14:paraId="4E404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p>
    <w:p w14:paraId="2FB94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各省、自治区、直辖市及新疆生产建设兵团卫生健康委：</w:t>
      </w:r>
    </w:p>
    <w:p w14:paraId="11B4E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根据国家卫生健康委、国家发展改革委、财政部、国家医保局、国家中医药局、国家疾控局《关于加强基层慢性病健康管理服务的指导意见》（国卫基层发〔2025〕15号），乡镇卫生院和社区卫生服务中心通过功能整合，可设立分区合理、动线流畅的“一站式”基层慢性病健康管理中心。为指导各地根据需要促进基层慢性病健康管理服务能力建设，优化服务流程，提高服务质量，适应城乡居民慢性病健康管理服务需求，我委制定了《基层慢性病健康管理服务能力建设指引》，现印发给你们，请结合实际参照执行。</w:t>
      </w:r>
    </w:p>
    <w:p w14:paraId="1AF91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default" w:ascii="仿宋_GB2312" w:hAnsi="仿宋_GB2312" w:eastAsia="仿宋_GB2312" w:cs="仿宋_GB2312"/>
          <w:color w:val="484848"/>
          <w:sz w:val="32"/>
          <w:szCs w:val="32"/>
          <w:u w:val="none"/>
        </w:rPr>
      </w:pPr>
    </w:p>
    <w:p w14:paraId="2DB40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w:t>
      </w:r>
      <w:r>
        <w:rPr>
          <w:rFonts w:hint="default" w:ascii="仿宋_GB2312" w:hAnsi="仿宋_GB2312" w:eastAsia="仿宋_GB2312" w:cs="仿宋_GB2312"/>
          <w:i w:val="0"/>
          <w:iCs w:val="0"/>
          <w:caps w:val="0"/>
          <w:color w:val="484848"/>
          <w:spacing w:val="0"/>
          <w:sz w:val="32"/>
          <w:szCs w:val="32"/>
          <w:u w:val="none"/>
          <w:bdr w:val="none" w:color="auto" w:sz="0" w:space="0"/>
        </w:rPr>
        <w:drawing>
          <wp:inline distT="0" distB="0" distL="114300" distR="114300">
            <wp:extent cx="152400" cy="1524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仿宋_GB2312" w:hAnsi="仿宋_GB2312" w:eastAsia="仿宋_GB2312" w:cs="仿宋_GB2312"/>
          <w:i w:val="0"/>
          <w:iCs w:val="0"/>
          <w:caps w:val="0"/>
          <w:color w:val="484848"/>
          <w:spacing w:val="0"/>
          <w:sz w:val="32"/>
          <w:szCs w:val="32"/>
          <w:u w:val="none"/>
          <w:bdr w:val="none" w:color="auto" w:sz="0" w:space="0"/>
        </w:rPr>
        <w:fldChar w:fldCharType="begin"/>
      </w:r>
      <w:r>
        <w:rPr>
          <w:rFonts w:hint="default" w:ascii="仿宋_GB2312" w:hAnsi="仿宋_GB2312" w:eastAsia="仿宋_GB2312" w:cs="仿宋_GB2312"/>
          <w:i w:val="0"/>
          <w:iCs w:val="0"/>
          <w:caps w:val="0"/>
          <w:color w:val="484848"/>
          <w:spacing w:val="0"/>
          <w:sz w:val="32"/>
          <w:szCs w:val="32"/>
          <w:u w:val="none"/>
          <w:bdr w:val="none" w:color="auto" w:sz="0" w:space="0"/>
        </w:rPr>
        <w:instrText xml:space="preserve"> HYPERLINK "https://www.nhc.gov.cn/jws/c100073/202511/d3b6755fe7004cdeac938bf77b6a4a80/files/%E9%99%84%E4%BB%B6%EF%BC%9A%E5%9F%BA%E5%B1%82%E6%85%A2%E6%80%A7%E7%97%85%E5%81%A5%E5%BA%B7%E7%AE%A1%E7%90%86%E6%9C%8D%E5%8A%A1%E8%83%BD%E5%8A%9B%E5%BB%BA%E8%AE%BE%E6%8C%87%E5%BC%95-20251120153850169.pdf" \t "/Users/tianyaopeng/Documents\\x/_blank" </w:instrText>
      </w:r>
      <w:r>
        <w:rPr>
          <w:rFonts w:hint="default" w:ascii="仿宋_GB2312" w:hAnsi="仿宋_GB2312" w:eastAsia="仿宋_GB2312" w:cs="仿宋_GB2312"/>
          <w:i w:val="0"/>
          <w:iCs w:val="0"/>
          <w:caps w:val="0"/>
          <w:color w:val="484848"/>
          <w:spacing w:val="0"/>
          <w:sz w:val="32"/>
          <w:szCs w:val="32"/>
          <w:u w:val="none"/>
          <w:bdr w:val="none" w:color="auto" w:sz="0" w:space="0"/>
        </w:rPr>
        <w:fldChar w:fldCharType="separate"/>
      </w:r>
      <w:r>
        <w:rPr>
          <w:rStyle w:val="5"/>
          <w:rFonts w:hint="default" w:ascii="仿宋_GB2312" w:hAnsi="仿宋_GB2312" w:eastAsia="仿宋_GB2312" w:cs="仿宋_GB2312"/>
          <w:i w:val="0"/>
          <w:iCs w:val="0"/>
          <w:caps w:val="0"/>
          <w:color w:val="484848"/>
          <w:spacing w:val="0"/>
          <w:sz w:val="32"/>
          <w:szCs w:val="32"/>
          <w:u w:val="none"/>
          <w:bdr w:val="none" w:color="auto" w:sz="0" w:space="0"/>
        </w:rPr>
        <w:t>附件：基层慢性病健康管理服务能力建设指引</w:t>
      </w:r>
      <w:r>
        <w:rPr>
          <w:rFonts w:hint="default" w:ascii="仿宋_GB2312" w:hAnsi="仿宋_GB2312" w:eastAsia="仿宋_GB2312" w:cs="仿宋_GB2312"/>
          <w:i w:val="0"/>
          <w:iCs w:val="0"/>
          <w:caps w:val="0"/>
          <w:color w:val="484848"/>
          <w:spacing w:val="0"/>
          <w:sz w:val="32"/>
          <w:szCs w:val="32"/>
          <w:u w:val="none"/>
          <w:bdr w:val="none" w:color="auto" w:sz="0" w:space="0"/>
        </w:rPr>
        <w:fldChar w:fldCharType="end"/>
      </w:r>
    </w:p>
    <w:p w14:paraId="7476A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p>
    <w:p w14:paraId="54514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p>
    <w:p w14:paraId="61B06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国家卫生健康委办公厅</w:t>
      </w:r>
    </w:p>
    <w:p w14:paraId="1690A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2025年11月14日</w:t>
      </w:r>
    </w:p>
    <w:p w14:paraId="2C75A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（信息公开形式：主动公开）</w:t>
      </w:r>
    </w:p>
    <w:p w14:paraId="463A16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F4EE3"/>
    <w:rsid w:val="5DEF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2025-12-10T12:13:00Z</dcterms:created>
  <dc:creator>彭天曜律师</dc:creator>
  <cp:lastModifiedBy>彭天曜律师</cp:lastModifiedBy>
  <dcterms:modified xsi:type="dcterms:W3CDTF">2025-12-10T12:13:30Z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D08751B7AEB81F455AF338696A66F2F2_41</vt:lpwstr>
  </property>
</Properties>
</file>