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EA344">
      <w:pPr>
        <w:spacing w:before="211" w:beforeLines="50" w:after="423" w:afterLines="100"/>
        <w:ind w:firstLine="0" w:firstLineChars="0"/>
        <w:jc w:val="center"/>
        <w:rPr>
          <w:rFonts w:ascii="宋体" w:hAnsi="宋体" w:eastAsia="宋体"/>
          <w:b/>
          <w:sz w:val="32"/>
          <w:szCs w:val="32"/>
        </w:rPr>
      </w:pPr>
      <w:r>
        <w:fldChar w:fldCharType="begin"/>
      </w:r>
      <w:r>
        <w:instrText xml:space="preserve"> HYPERLINK "https://alphalawyer.cn/ilawregu-search/api/v1/lawregu/redict/d8bde5bbd558f15f8c932f1b9e2746ba" </w:instrText>
      </w:r>
      <w:r>
        <w:fldChar w:fldCharType="separate"/>
      </w:r>
      <w:r>
        <w:rPr>
          <w:rFonts w:hint="eastAsia" w:ascii="宋体" w:hAnsi="宋体" w:eastAsia="宋体"/>
          <w:b/>
          <w:sz w:val="32"/>
          <w:szCs w:val="32"/>
        </w:rPr>
        <w:t>国家药监局综合司关于印发《药用辅料附录检查指导原则》《药包材附录检查指导原则》的通知</w:t>
      </w:r>
      <w:r>
        <w:rPr>
          <w:rFonts w:hint="eastAsia" w:ascii="宋体" w:hAnsi="宋体" w:eastAsia="宋体"/>
          <w:b/>
          <w:sz w:val="32"/>
          <w:szCs w:val="32"/>
        </w:rPr>
        <w:fldChar w:fldCharType="end"/>
      </w:r>
    </w:p>
    <w:p w14:paraId="1CE78CBD">
      <w:pPr>
        <w:spacing w:before="105"/>
        <w:ind w:firstLine="420"/>
      </w:pPr>
      <w:r>
        <w:rPr>
          <w:rStyle w:val="44"/>
          <w:rFonts w:ascii="宋体" w:hAnsi="宋体" w:eastAsia="宋体"/>
        </w:rPr>
        <w:t xml:space="preserve">时效性：  </w:t>
      </w:r>
      <w:r>
        <w:rPr>
          <w:rStyle w:val="44"/>
          <w:b w:val="0"/>
        </w:rPr>
        <w:t xml:space="preserve">  </w:t>
      </w:r>
      <w:r>
        <w:rPr>
          <w:rFonts w:ascii="宋体" w:hAnsi="宋体" w:eastAsia="宋体"/>
        </w:rPr>
        <w:t>现行有效</w:t>
      </w:r>
    </w:p>
    <w:p w14:paraId="628E1286">
      <w:pPr>
        <w:spacing w:before="105"/>
        <w:ind w:firstLine="420"/>
      </w:pPr>
      <w:r>
        <w:rPr>
          <w:rStyle w:val="44"/>
          <w:rFonts w:ascii="宋体" w:hAnsi="宋体" w:eastAsia="宋体"/>
        </w:rPr>
        <w:t>发文机关：</w:t>
      </w:r>
      <w:r>
        <w:rPr>
          <w:rStyle w:val="44"/>
          <w:b w:val="0"/>
        </w:rPr>
        <w:t xml:space="preserve">  </w:t>
      </w:r>
      <w:r>
        <w:rPr>
          <w:rFonts w:hint="eastAsia" w:ascii="宋体" w:hAnsi="宋体" w:eastAsia="宋体"/>
        </w:rPr>
        <w:t>国家药监局综合司</w:t>
      </w:r>
    </w:p>
    <w:p w14:paraId="7045121C">
      <w:pPr>
        <w:spacing w:before="105"/>
        <w:ind w:firstLine="420"/>
      </w:pPr>
      <w:r>
        <w:rPr>
          <w:rStyle w:val="44"/>
          <w:rFonts w:ascii="宋体" w:hAnsi="宋体" w:eastAsia="宋体"/>
        </w:rPr>
        <w:t xml:space="preserve">文号：    </w:t>
      </w:r>
      <w:r>
        <w:rPr>
          <w:rStyle w:val="44"/>
          <w:b w:val="0"/>
        </w:rPr>
        <w:t xml:space="preserve"> </w:t>
      </w:r>
      <w:r>
        <w:rPr>
          <w:rStyle w:val="44"/>
          <w:rFonts w:hint="eastAsia" w:eastAsia="微软雅黑"/>
          <w:b w:val="0"/>
          <w:lang w:val="en-US" w:eastAsia="zh-CN"/>
        </w:rPr>
        <w:t xml:space="preserve"> </w:t>
      </w:r>
      <w:r>
        <w:rPr>
          <w:rFonts w:hint="eastAsia" w:ascii="宋体" w:hAnsi="宋体" w:eastAsia="宋体"/>
        </w:rPr>
        <w:t>药监综药管〔2025〕67号</w:t>
      </w:r>
    </w:p>
    <w:p w14:paraId="3592BE0F">
      <w:pPr>
        <w:spacing w:before="105"/>
        <w:ind w:firstLine="420"/>
        <w:rPr>
          <w:rStyle w:val="44"/>
          <w:rFonts w:hint="default" w:ascii="宋体" w:hAnsi="宋体" w:eastAsia="宋体"/>
          <w:lang w:val="en-US" w:eastAsia="zh-CN"/>
        </w:rPr>
      </w:pPr>
      <w:r>
        <w:rPr>
          <w:rStyle w:val="44"/>
          <w:rFonts w:hint="eastAsia" w:ascii="宋体" w:hAnsi="宋体" w:eastAsia="宋体"/>
          <w:lang w:val="en-US" w:eastAsia="zh-CN"/>
        </w:rPr>
        <w:t xml:space="preserve">文件属性：  </w:t>
      </w:r>
      <w:r>
        <w:rPr>
          <w:rFonts w:hint="eastAsia" w:ascii="宋体" w:hAnsi="宋体" w:eastAsia="宋体"/>
          <w:lang w:val="en-US" w:eastAsia="zh-CN"/>
        </w:rPr>
        <w:t>部门规范性文件</w:t>
      </w:r>
    </w:p>
    <w:p w14:paraId="35C1DB19">
      <w:pPr>
        <w:spacing w:before="105"/>
        <w:ind w:firstLine="420"/>
      </w:pPr>
      <w:r>
        <w:rPr>
          <w:rStyle w:val="44"/>
          <w:rFonts w:ascii="宋体" w:hAnsi="宋体" w:eastAsia="宋体"/>
        </w:rPr>
        <w:t>发文日期：</w:t>
      </w:r>
      <w:r>
        <w:rPr>
          <w:rStyle w:val="44"/>
          <w:b w:val="0"/>
        </w:rPr>
        <w:t xml:space="preserve">  </w:t>
      </w:r>
      <w:r>
        <w:rPr>
          <w:rFonts w:ascii="宋体" w:hAnsi="宋体" w:eastAsia="宋体"/>
        </w:rPr>
        <w:t>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11</w:t>
      </w:r>
      <w:r>
        <w:rPr>
          <w:rFonts w:ascii="宋体" w:hAnsi="宋体" w:eastAsia="宋体"/>
        </w:rPr>
        <w:t>月</w:t>
      </w:r>
      <w:r>
        <w:rPr>
          <w:rFonts w:hint="eastAsia" w:ascii="宋体" w:hAnsi="宋体" w:eastAsia="宋体"/>
          <w:lang w:val="en-US" w:eastAsia="zh-CN"/>
        </w:rPr>
        <w:t>21</w:t>
      </w:r>
      <w:r>
        <w:rPr>
          <w:rFonts w:ascii="宋体" w:hAnsi="宋体" w:eastAsia="宋体"/>
        </w:rPr>
        <w:t>日</w:t>
      </w:r>
    </w:p>
    <w:p w14:paraId="67BAF137">
      <w:pPr>
        <w:spacing w:before="105"/>
        <w:ind w:firstLine="420"/>
      </w:pPr>
      <w:r>
        <w:rPr>
          <w:rStyle w:val="44"/>
          <w:rFonts w:ascii="宋体" w:hAnsi="宋体" w:eastAsia="宋体"/>
        </w:rPr>
        <w:t>施行日期：</w:t>
      </w:r>
      <w:r>
        <w:rPr>
          <w:rStyle w:val="44"/>
          <w:b w:val="0"/>
        </w:rPr>
        <w:t xml:space="preserve">  </w:t>
      </w:r>
      <w:r>
        <w:rPr>
          <w:rFonts w:ascii="宋体" w:hAnsi="宋体" w:eastAsia="宋体"/>
        </w:rPr>
        <w:t>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11</w:t>
      </w:r>
      <w:r>
        <w:rPr>
          <w:rFonts w:ascii="宋体" w:hAnsi="宋体" w:eastAsia="宋体"/>
        </w:rPr>
        <w:t>月</w:t>
      </w:r>
      <w:r>
        <w:rPr>
          <w:rFonts w:hint="eastAsia" w:ascii="宋体" w:hAnsi="宋体" w:eastAsia="宋体"/>
          <w:lang w:val="en-US" w:eastAsia="zh-CN"/>
        </w:rPr>
        <w:t>21</w:t>
      </w:r>
      <w:r>
        <w:rPr>
          <w:rFonts w:ascii="宋体" w:hAnsi="宋体" w:eastAsia="宋体"/>
        </w:rPr>
        <w:t>日</w:t>
      </w:r>
    </w:p>
    <w:p w14:paraId="6F2651B7">
      <w:pPr>
        <w:spacing w:before="0" w:beforeLines="0" w:after="0" w:afterLines="0"/>
        <w:ind w:firstLine="420" w:firstLineChars="200"/>
        <w:rPr>
          <w:rFonts w:hint="default" w:ascii="宋体" w:hAnsi="宋体" w:eastAsia="宋体"/>
        </w:rPr>
      </w:pPr>
    </w:p>
    <w:p w14:paraId="49306147">
      <w:pPr>
        <w:spacing w:before="0" w:beforeLines="0" w:after="0" w:afterLines="0"/>
        <w:ind w:firstLine="420" w:firstLineChars="200"/>
        <w:jc w:val="left"/>
        <w:rPr>
          <w:rFonts w:hint="default" w:ascii="宋体" w:hAnsi="宋体" w:eastAsia="宋体"/>
        </w:rPr>
      </w:pPr>
      <w:r>
        <w:rPr>
          <w:rFonts w:hint="default" w:ascii="宋体" w:hAnsi="宋体" w:eastAsia="宋体"/>
        </w:rPr>
        <w:t>各省、自治区、直辖市和新疆生产建设兵团药品监督管理局，国家药监局药审中心、核查中心、特药检查中心、信息中心：</w:t>
      </w:r>
    </w:p>
    <w:p w14:paraId="5A785F41">
      <w:pPr>
        <w:spacing w:before="0" w:beforeLines="0" w:after="0" w:afterLines="0"/>
        <w:ind w:firstLine="420" w:firstLineChars="200"/>
        <w:jc w:val="left"/>
        <w:rPr>
          <w:rFonts w:hint="default" w:ascii="宋体" w:hAnsi="宋体" w:eastAsia="宋体"/>
        </w:rPr>
      </w:pPr>
      <w:r>
        <w:rPr>
          <w:rFonts w:hint="default" w:ascii="宋体" w:hAnsi="宋体" w:eastAsia="宋体"/>
        </w:rPr>
        <w:t>　　为贯彻落实《药品管理法》《药品注册管理办法》《药品生产监督管理办法》等有关规定，做好《药品生产质量管理规范（2010年修订）》药用辅料附录和药包材附录配套实施工作，指导药品监管部门科学开展检查工作，国家药监局组织制订了《药用辅料附录检查指导原则》《药包材附录检查指导原则》，现印发给你们，请遵照执行，并就有关工作要求通知如下：</w:t>
      </w:r>
    </w:p>
    <w:p w14:paraId="1576E59E">
      <w:pPr>
        <w:spacing w:before="0" w:beforeLines="0" w:after="0" w:afterLines="0"/>
        <w:ind w:firstLine="420" w:firstLineChars="200"/>
        <w:jc w:val="left"/>
        <w:rPr>
          <w:rFonts w:hint="default" w:ascii="宋体" w:hAnsi="宋体" w:eastAsia="宋体"/>
        </w:rPr>
      </w:pPr>
      <w:r>
        <w:rPr>
          <w:rFonts w:hint="default" w:ascii="宋体" w:hAnsi="宋体" w:eastAsia="宋体"/>
        </w:rPr>
        <w:t>　　一、各省级药品监管部门要严格落实属地监管责任，按照《药品管理法》《药品生产监督管理办法》《药品生产质量管理规范（2010年修订）》药用辅料附录与药包材附录，至少每五年对本行政区域内登记状态为“A”的药用辅料及药包材生产企业开展一次监督检查。</w:t>
      </w:r>
    </w:p>
    <w:p w14:paraId="7C58D51B">
      <w:pPr>
        <w:spacing w:before="0" w:beforeLines="0" w:after="0" w:afterLines="0"/>
        <w:ind w:firstLine="420" w:firstLineChars="200"/>
        <w:jc w:val="left"/>
        <w:rPr>
          <w:rFonts w:hint="default" w:ascii="宋体" w:hAnsi="宋体" w:eastAsia="宋体"/>
        </w:rPr>
      </w:pPr>
      <w:r>
        <w:rPr>
          <w:rFonts w:hint="default" w:ascii="宋体" w:hAnsi="宋体" w:eastAsia="宋体"/>
        </w:rPr>
        <w:t>　　二、各省级药品监管部门要充分利用国家药监局药品审评中心的登记平台信息，查询掌握本行政区域内药用辅料、药包材生产企业情况，依风险实施有针对性的监管。各省级药品监管部门在研究制定年度检查计划时，应将药用辅料、药包材纳入，并综合考虑实际监管情况及涉企检查相关规定，在不影响检查预期目的和检查质量的前提下，整合检查任务，推进精准检查，防止重复检查，提升检查效能。</w:t>
      </w:r>
    </w:p>
    <w:p w14:paraId="7F1B2A33">
      <w:pPr>
        <w:spacing w:before="0" w:beforeLines="0" w:after="0" w:afterLines="0"/>
        <w:ind w:firstLine="420" w:firstLineChars="200"/>
        <w:jc w:val="left"/>
        <w:rPr>
          <w:rFonts w:hint="default" w:ascii="宋体" w:hAnsi="宋体" w:eastAsia="宋体"/>
        </w:rPr>
      </w:pPr>
      <w:r>
        <w:rPr>
          <w:rFonts w:hint="default" w:ascii="宋体" w:hAnsi="宋体" w:eastAsia="宋体"/>
        </w:rPr>
        <w:t>　　三、药品上市许可持有人所在地省级药品监管部门可根据监管实际需求开展必要的延伸检查。延伸检查时可自行检查，也可商请药用辅料、药包材企业所在地省级药品监管部门开展联合检查或委托对方开展检查。</w:t>
      </w:r>
    </w:p>
    <w:p w14:paraId="77289DE6">
      <w:pPr>
        <w:spacing w:before="0" w:beforeLines="0" w:after="0" w:afterLines="0"/>
        <w:ind w:firstLine="420" w:firstLineChars="200"/>
        <w:jc w:val="left"/>
        <w:rPr>
          <w:rFonts w:hint="default" w:ascii="宋体" w:hAnsi="宋体" w:eastAsia="宋体"/>
        </w:rPr>
      </w:pPr>
      <w:r>
        <w:rPr>
          <w:rFonts w:hint="default" w:ascii="宋体" w:hAnsi="宋体" w:eastAsia="宋体"/>
        </w:rPr>
        <w:t>　　四、相关检查工作的组织实施、检查程序、文书要求及结果处理规则可参照《药品检查管理办法（试行）》（国药监药管〔2023〕26号）、《药品生产质量管理规范符合性检查工作程序（试行）》（药监综药管〔2023〕86号）等有关要求执行，或可在符合要求的基础上根据监管实际简化相关程序。</w:t>
      </w:r>
    </w:p>
    <w:p w14:paraId="4B4C1E2E">
      <w:pPr>
        <w:spacing w:before="0" w:beforeLines="0" w:after="0" w:afterLines="0"/>
        <w:ind w:firstLine="420" w:firstLineChars="200"/>
        <w:jc w:val="left"/>
        <w:rPr>
          <w:rFonts w:hint="default" w:ascii="宋体" w:hAnsi="宋体" w:eastAsia="宋体"/>
        </w:rPr>
      </w:pPr>
      <w:r>
        <w:rPr>
          <w:rFonts w:hint="default" w:ascii="宋体" w:hAnsi="宋体" w:eastAsia="宋体"/>
        </w:rPr>
        <w:t>　　五、检查完成后，应当及时将检查报告及处理信息上传至国家药监局智慧监管平台药品业务应用系统的药品检查报告采集模块，不断完善药用辅料、药包材监管档案。各省级药品监管部门应加强衔接配合，建立健全信息通报、交流、协查、共享等联动机制，加强检查、抽检、监测、处罚等监管协同。</w:t>
      </w:r>
    </w:p>
    <w:p w14:paraId="2AE0577B">
      <w:pPr>
        <w:spacing w:before="0" w:beforeLines="0" w:after="0" w:afterLines="0"/>
        <w:ind w:firstLine="420" w:firstLineChars="200"/>
        <w:jc w:val="left"/>
        <w:rPr>
          <w:rFonts w:hint="default" w:ascii="宋体" w:hAnsi="宋体" w:eastAsia="宋体"/>
        </w:rPr>
      </w:pPr>
      <w:r>
        <w:rPr>
          <w:rFonts w:hint="default" w:ascii="宋体" w:hAnsi="宋体" w:eastAsia="宋体"/>
        </w:rPr>
        <w:t>　　六、检查发现相关企业存在未遵守药用辅料附录或药包材附录及其他涉嫌违法违规行为的，应依法依规查处。药品上市许可持有人所在地省级药品监管部门在延伸检查中发现问题的，应当将有关情况及时通报药用辅料、药包材生产企业所在地省级药品监管部门，由药用辅料、药包材生产企业所在地省级药品监管部门依法依规处置。药品上市许可持有人所在地省级药品监管部门应结合药用辅料、药包材在药品中的实际应用情况对检查结果进行综合研判，根据综合研判结果对涉及药品采取有效的风险防控措施。</w:t>
      </w:r>
    </w:p>
    <w:p w14:paraId="0568EDAD">
      <w:pPr>
        <w:spacing w:before="0" w:beforeLines="0" w:after="0" w:afterLines="0"/>
        <w:ind w:firstLine="420" w:firstLineChars="200"/>
        <w:jc w:val="left"/>
        <w:rPr>
          <w:rFonts w:hint="default" w:ascii="宋体" w:hAnsi="宋体" w:eastAsia="宋体"/>
        </w:rPr>
      </w:pPr>
      <w:bookmarkStart w:id="0" w:name="_GoBack"/>
      <w:bookmarkEnd w:id="0"/>
      <w:r>
        <w:rPr>
          <w:rFonts w:hint="default" w:ascii="宋体" w:hAnsi="宋体" w:eastAsia="宋体"/>
        </w:rPr>
        <w:t>　　七、各省级药品监管部门应当加强政策宣贯与教育培训，督促指导本行政区域内药用辅料、药包材生产企业对照《国家药监局关于发布〈药品生产质量管理规范（2010年修订）〉药用辅料附录、药包材附录的公告》（2025年 第1号）及本通知所附指导原则要求，严格药用辅料、药包材生产质量管理，确保生产过程持续合规。</w:t>
      </w:r>
    </w:p>
    <w:p w14:paraId="69C24A57">
      <w:pPr>
        <w:spacing w:before="0" w:beforeLines="0" w:after="0" w:afterLines="0"/>
        <w:ind w:firstLine="420" w:firstLineChars="200"/>
        <w:jc w:val="right"/>
        <w:rPr>
          <w:rFonts w:hint="default" w:ascii="宋体" w:hAnsi="宋体" w:eastAsia="宋体"/>
        </w:rPr>
      </w:pPr>
    </w:p>
    <w:p w14:paraId="39970937">
      <w:pPr>
        <w:spacing w:before="0" w:beforeLines="0" w:after="0" w:afterLines="0"/>
        <w:ind w:firstLine="420" w:firstLineChars="200"/>
        <w:jc w:val="right"/>
        <w:rPr>
          <w:rFonts w:hint="default" w:ascii="宋体" w:hAnsi="宋体" w:eastAsia="宋体"/>
        </w:rPr>
      </w:pPr>
      <w:r>
        <w:rPr>
          <w:rFonts w:hint="default" w:ascii="宋体" w:hAnsi="宋体" w:eastAsia="宋体"/>
        </w:rPr>
        <w:t>国家药监局综合司</w:t>
      </w:r>
    </w:p>
    <w:p w14:paraId="13192B2F">
      <w:pPr>
        <w:spacing w:before="0" w:beforeLines="0" w:after="0" w:afterLines="0"/>
        <w:ind w:firstLine="420" w:firstLineChars="200"/>
        <w:jc w:val="right"/>
        <w:rPr>
          <w:rFonts w:hint="default" w:ascii="宋体" w:hAnsi="宋体" w:eastAsia="宋体"/>
        </w:rPr>
      </w:pPr>
      <w:r>
        <w:rPr>
          <w:rFonts w:hint="default" w:ascii="宋体" w:hAnsi="宋体" w:eastAsia="宋体"/>
        </w:rPr>
        <w:t>2025年11月18日</w:t>
      </w:r>
    </w:p>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850" w:footer="992" w:gutter="0"/>
      <w:pgNumType w:fmt="numberInDash" w:start="1"/>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ongti SC">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B08D">
    <w:pPr>
      <w:spacing w:before="120"/>
      <w:ind w:firstLine="360"/>
      <w:jc w:val="center"/>
      <w:rPr>
        <w:rFonts w:hint="eastAsia"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Arabic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r>
      <w:rPr>
        <w:rFonts w:ascii="宋体" w:hAnsi="宋体" w:eastAsia="宋体"/>
        <w:sz w:val="18"/>
        <w:szCs w:val="18"/>
      </w:rPr>
      <w:t xml:space="preserve"> </w:t>
    </w:r>
    <w:r>
      <w:rPr>
        <w:rFonts w:hint="eastAsia" w:ascii="宋体" w:hAnsi="宋体" w:eastAsia="宋体"/>
        <w:sz w:val="18"/>
        <w:szCs w:val="18"/>
      </w:rPr>
      <w:t>/</w:t>
    </w:r>
    <w:r>
      <w:rPr>
        <w:rFonts w:ascii="宋体" w:hAnsi="宋体" w:eastAsia="宋体"/>
        <w:sz w:val="18"/>
        <w:szCs w:val="18"/>
      </w:rPr>
      <w:t xml:space="preserve"> </w:t>
    </w:r>
    <w:r>
      <w:rPr>
        <w:rFonts w:ascii="宋体" w:hAnsi="宋体" w:eastAsia="宋体"/>
        <w:sz w:val="18"/>
        <w:szCs w:val="18"/>
      </w:rPr>
      <w:fldChar w:fldCharType="begin"/>
    </w:r>
    <w:r>
      <w:rPr>
        <w:rFonts w:ascii="宋体" w:hAnsi="宋体" w:eastAsia="宋体"/>
        <w:sz w:val="18"/>
        <w:szCs w:val="18"/>
      </w:rPr>
      <w:instrText xml:space="preserve"> NUMPAGES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974F">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65A1A4A3">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0535F3A2">
    <w:pPr>
      <w:pStyle w:val="12"/>
      <w:spacing w:before="120"/>
      <w:ind w:firstLine="360"/>
    </w:pPr>
  </w:p>
  <w:p w14:paraId="7D151C96">
    <w:pPr>
      <w:spacing w:before="120"/>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ABA87">
    <w:pPr>
      <w:pStyle w:val="12"/>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8F08">
    <w:pPr>
      <w:pStyle w:val="13"/>
      <w:rPr>
        <w:rFonts w:hint="eastAsia" w:ascii="宋体" w:hAnsi="宋体" w:eastAsia="宋体"/>
      </w:rPr>
    </w:pPr>
    <w:r>
      <w:rPr>
        <w:rFonts w:hint="eastAsia" w:ascii="宋体" w:hAnsi="宋体" w:eastAsia="宋体"/>
      </w:rPr>
      <w:t>国家药监局综合司关于印发《药用辅料附录检查指导原则》《药包材附录检查指导原则》的通知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493E">
    <w:pPr>
      <w:pStyle w:val="1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72149">
    <w:pPr>
      <w:pStyle w:val="1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 w:val="12301AE7"/>
    <w:rsid w:val="2DF80479"/>
    <w:rsid w:val="2E776EC9"/>
    <w:rsid w:val="35895362"/>
    <w:rsid w:val="3E965F71"/>
    <w:rsid w:val="4D4D7B1B"/>
    <w:rsid w:val="644D57EB"/>
    <w:rsid w:val="74E5744F"/>
    <w:rsid w:val="7CA11E8A"/>
    <w:rsid w:val="7D02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ind w:firstLine="200" w:firstLineChars="200"/>
    </w:pPr>
    <w:rPr>
      <w:rFonts w:ascii="等线" w:hAnsi="等线" w:eastAsia="等线" w:cs="宋体"/>
      <w:kern w:val="0"/>
      <w:sz w:val="21"/>
      <w:szCs w:val="21"/>
      <w:lang w:val="en-US" w:eastAsia="zh-CN" w:bidi="ar-SA"/>
    </w:rPr>
  </w:style>
  <w:style w:type="paragraph" w:styleId="2">
    <w:name w:val="heading 1"/>
    <w:basedOn w:val="1"/>
    <w:link w:val="32"/>
    <w:qFormat/>
    <w:uiPriority w:val="9"/>
    <w:pPr>
      <w:spacing w:before="423" w:beforeLines="100" w:after="317" w:afterLines="75" w:line="400" w:lineRule="exact"/>
      <w:ind w:firstLine="0" w:firstLineChars="0"/>
      <w:jc w:val="center"/>
      <w:outlineLvl w:val="0"/>
    </w:pPr>
    <w:rPr>
      <w:rFonts w:eastAsia="宋体"/>
      <w:b/>
      <w:bCs/>
      <w:kern w:val="36"/>
      <w:sz w:val="24"/>
      <w:szCs w:val="24"/>
    </w:rPr>
  </w:style>
  <w:style w:type="paragraph" w:styleId="3">
    <w:name w:val="heading 2"/>
    <w:basedOn w:val="1"/>
    <w:next w:val="1"/>
    <w:link w:val="51"/>
    <w:unhideWhenUsed/>
    <w:qFormat/>
    <w:uiPriority w:val="9"/>
    <w:pPr>
      <w:keepNext/>
      <w:keepLines/>
      <w:spacing w:before="211" w:line="400" w:lineRule="exact"/>
      <w:ind w:firstLine="0" w:firstLineChars="0"/>
      <w:jc w:val="center"/>
      <w:outlineLvl w:val="1"/>
    </w:pPr>
    <w:rPr>
      <w:rFonts w:cstheme="majorBidi"/>
      <w:b/>
      <w:bCs/>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spacing w:before="0"/>
      <w:ind w:left="1260"/>
    </w:pPr>
    <w:rPr>
      <w:rFonts w:asciiTheme="minorHAnsi" w:eastAsiaTheme="minorHAnsi"/>
      <w:sz w:val="18"/>
      <w:szCs w:val="18"/>
    </w:rPr>
  </w:style>
  <w:style w:type="paragraph" w:styleId="7">
    <w:name w:val="annotation text"/>
    <w:basedOn w:val="1"/>
    <w:link w:val="47"/>
    <w:unhideWhenUsed/>
    <w:qFormat/>
    <w:uiPriority w:val="99"/>
  </w:style>
  <w:style w:type="paragraph" w:styleId="8">
    <w:name w:val="toc 5"/>
    <w:basedOn w:val="1"/>
    <w:next w:val="1"/>
    <w:autoRedefine/>
    <w:unhideWhenUsed/>
    <w:qFormat/>
    <w:uiPriority w:val="39"/>
    <w:pPr>
      <w:spacing w:before="0"/>
      <w:ind w:left="840"/>
    </w:pPr>
    <w:rPr>
      <w:rFonts w:asciiTheme="minorHAnsi" w:eastAsiaTheme="minorHAnsi"/>
      <w:sz w:val="18"/>
      <w:szCs w:val="18"/>
    </w:rPr>
  </w:style>
  <w:style w:type="paragraph" w:styleId="9">
    <w:name w:val="toc 3"/>
    <w:basedOn w:val="1"/>
    <w:next w:val="1"/>
    <w:autoRedefine/>
    <w:unhideWhenUsed/>
    <w:qFormat/>
    <w:uiPriority w:val="39"/>
    <w:pPr>
      <w:spacing w:before="0"/>
      <w:ind w:left="420"/>
    </w:pPr>
    <w:rPr>
      <w:rFonts w:asciiTheme="minorHAnsi" w:eastAsiaTheme="minorHAnsi"/>
      <w:i/>
      <w:iCs/>
      <w:sz w:val="20"/>
      <w:szCs w:val="20"/>
    </w:rPr>
  </w:style>
  <w:style w:type="paragraph" w:styleId="10">
    <w:name w:val="toc 8"/>
    <w:basedOn w:val="1"/>
    <w:next w:val="1"/>
    <w:autoRedefine/>
    <w:unhideWhenUsed/>
    <w:qFormat/>
    <w:uiPriority w:val="39"/>
    <w:pPr>
      <w:spacing w:before="0"/>
      <w:ind w:left="1470"/>
    </w:pPr>
    <w:rPr>
      <w:rFonts w:asciiTheme="minorHAnsi" w:eastAsiaTheme="minorHAnsi"/>
      <w:sz w:val="18"/>
      <w:szCs w:val="18"/>
    </w:rPr>
  </w:style>
  <w:style w:type="paragraph" w:styleId="11">
    <w:name w:val="Balloon Text"/>
    <w:basedOn w:val="1"/>
    <w:link w:val="49"/>
    <w:semiHidden/>
    <w:unhideWhenUsed/>
    <w:qFormat/>
    <w:uiPriority w:val="99"/>
    <w:rPr>
      <w:rFonts w:ascii="Times New Roman" w:hAnsi="Times New Roman" w:cs="Times New Roman"/>
      <w:sz w:val="18"/>
      <w:szCs w:val="18"/>
    </w:rPr>
  </w:style>
  <w:style w:type="paragraph" w:styleId="12">
    <w:name w:val="footer"/>
    <w:basedOn w:val="1"/>
    <w:link w:val="31"/>
    <w:unhideWhenUsed/>
    <w:qFormat/>
    <w:uiPriority w:val="99"/>
    <w:pPr>
      <w:tabs>
        <w:tab w:val="center" w:pos="4153"/>
        <w:tab w:val="right" w:pos="8306"/>
      </w:tabs>
      <w:snapToGrid w:val="0"/>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2"/>
    <w:next w:val="2"/>
    <w:autoRedefine/>
    <w:unhideWhenUsed/>
    <w:qFormat/>
    <w:uiPriority w:val="39"/>
    <w:pPr>
      <w:tabs>
        <w:tab w:val="right" w:pos="9730"/>
      </w:tabs>
      <w:spacing w:before="0" w:beforeLines="0" w:after="0" w:afterLines="0" w:line="240" w:lineRule="auto"/>
      <w:jc w:val="left"/>
      <w:outlineLvl w:val="9"/>
    </w:pPr>
    <w:rPr>
      <w:rFonts w:asciiTheme="minorHAnsi"/>
      <w:b w:val="0"/>
      <w:caps/>
      <w:kern w:val="0"/>
      <w:sz w:val="21"/>
      <w:szCs w:val="20"/>
    </w:rPr>
  </w:style>
  <w:style w:type="paragraph" w:styleId="15">
    <w:name w:val="toc 4"/>
    <w:basedOn w:val="1"/>
    <w:next w:val="1"/>
    <w:autoRedefine/>
    <w:unhideWhenUsed/>
    <w:qFormat/>
    <w:uiPriority w:val="39"/>
    <w:pPr>
      <w:spacing w:before="0"/>
      <w:ind w:left="630"/>
    </w:pPr>
    <w:rPr>
      <w:rFonts w:asciiTheme="minorHAnsi" w:eastAsiaTheme="minorHAnsi"/>
      <w:sz w:val="18"/>
      <w:szCs w:val="18"/>
    </w:rPr>
  </w:style>
  <w:style w:type="paragraph" w:styleId="16">
    <w:name w:val="Subtitle"/>
    <w:basedOn w:val="1"/>
    <w:next w:val="1"/>
    <w:link w:val="56"/>
    <w:qFormat/>
    <w:uiPriority w:val="11"/>
    <w:pPr>
      <w:spacing w:before="60" w:after="60" w:line="312" w:lineRule="auto"/>
      <w:jc w:val="center"/>
      <w:outlineLvl w:val="1"/>
    </w:pPr>
    <w:rPr>
      <w:rFonts w:asciiTheme="minorHAnsi" w:hAnsiTheme="minorHAnsi" w:cstheme="minorBidi"/>
      <w:bCs/>
      <w:kern w:val="28"/>
      <w:szCs w:val="32"/>
    </w:rPr>
  </w:style>
  <w:style w:type="paragraph" w:styleId="17">
    <w:name w:val="toc 6"/>
    <w:basedOn w:val="1"/>
    <w:next w:val="1"/>
    <w:autoRedefine/>
    <w:unhideWhenUsed/>
    <w:qFormat/>
    <w:uiPriority w:val="39"/>
    <w:pPr>
      <w:spacing w:before="0"/>
      <w:ind w:left="1050"/>
    </w:pPr>
    <w:rPr>
      <w:rFonts w:asciiTheme="minorHAnsi" w:eastAsiaTheme="minorHAnsi"/>
      <w:sz w:val="18"/>
      <w:szCs w:val="18"/>
    </w:rPr>
  </w:style>
  <w:style w:type="paragraph" w:styleId="18">
    <w:name w:val="toc 2"/>
    <w:basedOn w:val="1"/>
    <w:next w:val="1"/>
    <w:autoRedefine/>
    <w:unhideWhenUsed/>
    <w:qFormat/>
    <w:uiPriority w:val="39"/>
    <w:pPr>
      <w:spacing w:before="0" w:beforeLines="0"/>
    </w:pPr>
    <w:rPr>
      <w:rFonts w:asciiTheme="minorHAnsi" w:eastAsiaTheme="minorHAnsi"/>
      <w:smallCaps/>
      <w:szCs w:val="20"/>
    </w:rPr>
  </w:style>
  <w:style w:type="paragraph" w:styleId="19">
    <w:name w:val="toc 9"/>
    <w:basedOn w:val="1"/>
    <w:next w:val="1"/>
    <w:autoRedefine/>
    <w:unhideWhenUsed/>
    <w:qFormat/>
    <w:uiPriority w:val="39"/>
    <w:pPr>
      <w:spacing w:before="0"/>
      <w:ind w:left="1680"/>
    </w:pPr>
    <w:rPr>
      <w:rFonts w:asciiTheme="minorHAnsi" w:eastAsiaTheme="minorHAnsi"/>
      <w:sz w:val="18"/>
      <w:szCs w:val="18"/>
    </w:rPr>
  </w:style>
  <w:style w:type="paragraph" w:styleId="20">
    <w:name w:val="Normal (Web)"/>
    <w:basedOn w:val="1"/>
    <w:unhideWhenUsed/>
    <w:qFormat/>
    <w:uiPriority w:val="99"/>
    <w:pPr>
      <w:spacing w:before="100" w:beforeAutospacing="1" w:after="100" w:afterAutospacing="1"/>
    </w:pPr>
  </w:style>
  <w:style w:type="paragraph" w:styleId="21">
    <w:name w:val="Title"/>
    <w:basedOn w:val="1"/>
    <w:next w:val="1"/>
    <w:link w:val="55"/>
    <w:qFormat/>
    <w:uiPriority w:val="10"/>
    <w:pPr>
      <w:spacing w:before="240" w:after="60"/>
      <w:jc w:val="center"/>
      <w:outlineLvl w:val="0"/>
    </w:pPr>
    <w:rPr>
      <w:rFonts w:eastAsia="Songti SC" w:asciiTheme="majorHAnsi" w:hAnsiTheme="majorHAnsi" w:cstheme="majorBidi"/>
      <w:b/>
      <w:bCs/>
      <w:sz w:val="32"/>
      <w:szCs w:val="32"/>
    </w:rPr>
  </w:style>
  <w:style w:type="paragraph" w:styleId="22">
    <w:name w:val="annotation subject"/>
    <w:basedOn w:val="7"/>
    <w:next w:val="7"/>
    <w:link w:val="48"/>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semiHidden/>
    <w:unhideWhenUsed/>
    <w:qFormat/>
    <w:uiPriority w:val="99"/>
  </w:style>
  <w:style w:type="character" w:styleId="27">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5"/>
    <w:unhideWhenUsed/>
    <w:qFormat/>
    <w:uiPriority w:val="99"/>
    <w:rPr>
      <w:color w:val="0000FF"/>
      <w:u w:val="none"/>
    </w:rPr>
  </w:style>
  <w:style w:type="character" w:styleId="29">
    <w:name w:val="annotation reference"/>
    <w:basedOn w:val="25"/>
    <w:semiHidden/>
    <w:unhideWhenUsed/>
    <w:qFormat/>
    <w:uiPriority w:val="99"/>
    <w:rPr>
      <w:sz w:val="21"/>
      <w:szCs w:val="21"/>
    </w:rPr>
  </w:style>
  <w:style w:type="character" w:customStyle="1" w:styleId="30">
    <w:name w:val="页眉 字符"/>
    <w:basedOn w:val="25"/>
    <w:link w:val="13"/>
    <w:qFormat/>
    <w:uiPriority w:val="99"/>
    <w:rPr>
      <w:sz w:val="18"/>
      <w:szCs w:val="18"/>
    </w:rPr>
  </w:style>
  <w:style w:type="character" w:customStyle="1" w:styleId="31">
    <w:name w:val="页脚 字符"/>
    <w:basedOn w:val="25"/>
    <w:link w:val="12"/>
    <w:qFormat/>
    <w:uiPriority w:val="99"/>
    <w:rPr>
      <w:sz w:val="18"/>
      <w:szCs w:val="18"/>
    </w:rPr>
  </w:style>
  <w:style w:type="character" w:customStyle="1" w:styleId="32">
    <w:name w:val="标题 1 字符"/>
    <w:basedOn w:val="25"/>
    <w:link w:val="2"/>
    <w:qFormat/>
    <w:uiPriority w:val="9"/>
    <w:rPr>
      <w:rFonts w:ascii="等线" w:hAnsi="等线" w:eastAsia="宋体" w:cs="宋体"/>
      <w:b/>
      <w:bCs/>
      <w:kern w:val="36"/>
    </w:rPr>
  </w:style>
  <w:style w:type="paragraph" w:customStyle="1" w:styleId="33">
    <w:name w:val="doc-a"/>
    <w:basedOn w:val="1"/>
    <w:qFormat/>
    <w:uiPriority w:val="0"/>
    <w:pPr>
      <w:spacing w:before="100" w:beforeAutospacing="1" w:after="100" w:afterAutospacing="1"/>
      <w:ind w:firstLine="480"/>
    </w:pPr>
    <w:rPr>
      <w:rFonts w:ascii="微软雅黑" w:hAnsi="微软雅黑" w:eastAsia="微软雅黑"/>
    </w:rPr>
  </w:style>
  <w:style w:type="paragraph" w:customStyle="1" w:styleId="34">
    <w:name w:val="cnsubtitle"/>
    <w:basedOn w:val="1"/>
    <w:semiHidden/>
    <w:qFormat/>
    <w:uiPriority w:val="99"/>
    <w:pPr>
      <w:spacing w:before="315" w:after="315" w:line="300" w:lineRule="exact"/>
    </w:pPr>
    <w:rPr>
      <w:rFonts w:ascii="微软雅黑" w:hAnsi="微软雅黑" w:eastAsia="微软雅黑"/>
    </w:rPr>
  </w:style>
  <w:style w:type="paragraph" w:customStyle="1" w:styleId="35">
    <w:name w:val="cntitle"/>
    <w:basedOn w:val="1"/>
    <w:semiHidden/>
    <w:qFormat/>
    <w:uiPriority w:val="99"/>
    <w:pPr>
      <w:spacing w:before="150" w:after="150"/>
      <w:ind w:left="150" w:right="150"/>
      <w:jc w:val="center"/>
    </w:pPr>
    <w:rPr>
      <w:rFonts w:ascii="微软雅黑" w:hAnsi="微软雅黑" w:eastAsia="微软雅黑"/>
      <w:b/>
      <w:bCs/>
      <w:vanish/>
    </w:rPr>
  </w:style>
  <w:style w:type="paragraph" w:customStyle="1" w:styleId="36">
    <w:name w:val="promulgatetitle"/>
    <w:basedOn w:val="1"/>
    <w:semiHidden/>
    <w:qFormat/>
    <w:uiPriority w:val="99"/>
    <w:pPr>
      <w:spacing w:before="100" w:beforeAutospacing="1" w:after="100" w:afterAutospacing="1"/>
      <w:jc w:val="center"/>
    </w:pPr>
    <w:rPr>
      <w:rFonts w:ascii="微软雅黑" w:hAnsi="微软雅黑" w:eastAsia="微软雅黑"/>
      <w:b/>
      <w:bCs/>
      <w:vanish/>
    </w:rPr>
  </w:style>
  <w:style w:type="paragraph" w:customStyle="1" w:styleId="37">
    <w:name w:val="promulgatesubtitle"/>
    <w:basedOn w:val="1"/>
    <w:semiHidden/>
    <w:qFormat/>
    <w:uiPriority w:val="99"/>
    <w:pPr>
      <w:spacing w:before="150" w:after="150"/>
      <w:ind w:left="150" w:right="150"/>
      <w:jc w:val="center"/>
    </w:pPr>
    <w:rPr>
      <w:rFonts w:ascii="微软雅黑" w:hAnsi="微软雅黑" w:eastAsia="微软雅黑"/>
      <w:sz w:val="23"/>
      <w:szCs w:val="23"/>
    </w:rPr>
  </w:style>
  <w:style w:type="paragraph" w:customStyle="1" w:styleId="38">
    <w:name w:val="promulgatedate"/>
    <w:basedOn w:val="1"/>
    <w:qFormat/>
    <w:uiPriority w:val="0"/>
    <w:pPr>
      <w:jc w:val="right"/>
    </w:pPr>
  </w:style>
  <w:style w:type="paragraph" w:customStyle="1" w:styleId="39">
    <w:name w:val="promulgatesignatory"/>
    <w:basedOn w:val="1"/>
    <w:qFormat/>
    <w:uiPriority w:val="0"/>
    <w:pPr>
      <w:jc w:val="right"/>
    </w:pPr>
  </w:style>
  <w:style w:type="paragraph" w:customStyle="1" w:styleId="40">
    <w:name w:val="标题1"/>
    <w:basedOn w:val="1"/>
    <w:semiHidden/>
    <w:qFormat/>
    <w:uiPriority w:val="99"/>
    <w:pPr>
      <w:spacing w:before="100" w:beforeAutospacing="1" w:after="100" w:afterAutospacing="1"/>
      <w:ind w:firstLine="480"/>
    </w:pPr>
    <w:rPr>
      <w:rFonts w:ascii="微软雅黑" w:hAnsi="微软雅黑" w:eastAsia="微软雅黑"/>
    </w:rPr>
  </w:style>
  <w:style w:type="paragraph" w:customStyle="1" w:styleId="41">
    <w:name w:val="catalog-a"/>
    <w:basedOn w:val="1"/>
    <w:semiHidden/>
    <w:qFormat/>
    <w:uiPriority w:val="99"/>
    <w:pPr>
      <w:spacing w:before="100" w:beforeAutospacing="1" w:after="100" w:afterAutospacing="1"/>
    </w:pPr>
  </w:style>
  <w:style w:type="character" w:customStyle="1" w:styleId="42">
    <w:name w:val="chaptertitle"/>
    <w:basedOn w:val="25"/>
    <w:qFormat/>
    <w:uiPriority w:val="0"/>
    <w:rPr>
      <w:rFonts w:hint="eastAsia" w:ascii="微软雅黑" w:hAnsi="微软雅黑" w:eastAsia="微软雅黑"/>
      <w:b/>
      <w:bCs/>
      <w:sz w:val="21"/>
      <w:szCs w:val="21"/>
    </w:rPr>
  </w:style>
  <w:style w:type="character" w:customStyle="1" w:styleId="43">
    <w:name w:val="metaname1"/>
    <w:basedOn w:val="25"/>
    <w:qFormat/>
    <w:uiPriority w:val="0"/>
    <w:rPr>
      <w:rFonts w:hint="eastAsia" w:ascii="微软雅黑" w:hAnsi="微软雅黑" w:eastAsia="微软雅黑"/>
      <w:b/>
      <w:bCs/>
      <w:sz w:val="21"/>
      <w:szCs w:val="21"/>
    </w:rPr>
  </w:style>
  <w:style w:type="character" w:customStyle="1" w:styleId="44">
    <w:name w:val="sect2title1"/>
    <w:basedOn w:val="25"/>
    <w:qFormat/>
    <w:uiPriority w:val="0"/>
    <w:rPr>
      <w:rFonts w:hint="eastAsia" w:ascii="微软雅黑" w:hAnsi="微软雅黑" w:eastAsia="微软雅黑"/>
      <w:b/>
      <w:bCs/>
      <w:sz w:val="21"/>
      <w:szCs w:val="21"/>
    </w:rPr>
  </w:style>
  <w:style w:type="character" w:customStyle="1" w:styleId="45">
    <w:name w:val="title1"/>
    <w:basedOn w:val="25"/>
    <w:qFormat/>
    <w:uiPriority w:val="0"/>
    <w:rPr>
      <w:rFonts w:hint="eastAsia" w:ascii="微软雅黑" w:hAnsi="微软雅黑" w:eastAsia="微软雅黑"/>
      <w:sz w:val="21"/>
      <w:szCs w:val="21"/>
    </w:rPr>
  </w:style>
  <w:style w:type="character" w:customStyle="1" w:styleId="46">
    <w:name w:val="sect1title1"/>
    <w:basedOn w:val="25"/>
    <w:qFormat/>
    <w:uiPriority w:val="0"/>
    <w:rPr>
      <w:rFonts w:hint="eastAsia" w:ascii="微软雅黑" w:hAnsi="微软雅黑" w:eastAsia="微软雅黑"/>
      <w:b/>
      <w:bCs/>
      <w:sz w:val="21"/>
      <w:szCs w:val="21"/>
    </w:rPr>
  </w:style>
  <w:style w:type="character" w:customStyle="1" w:styleId="47">
    <w:name w:val="批注文字 字符"/>
    <w:basedOn w:val="25"/>
    <w:link w:val="7"/>
    <w:qFormat/>
    <w:uiPriority w:val="99"/>
    <w:rPr>
      <w:rFonts w:ascii="宋体" w:hAnsi="宋体" w:eastAsia="宋体" w:cs="宋体"/>
      <w:kern w:val="0"/>
    </w:rPr>
  </w:style>
  <w:style w:type="character" w:customStyle="1" w:styleId="48">
    <w:name w:val="批注主题 字符"/>
    <w:basedOn w:val="47"/>
    <w:link w:val="22"/>
    <w:semiHidden/>
    <w:qFormat/>
    <w:uiPriority w:val="99"/>
    <w:rPr>
      <w:rFonts w:ascii="宋体" w:hAnsi="宋体" w:eastAsia="宋体" w:cs="宋体"/>
      <w:b/>
      <w:bCs/>
      <w:kern w:val="0"/>
    </w:rPr>
  </w:style>
  <w:style w:type="character" w:customStyle="1" w:styleId="49">
    <w:name w:val="批注框文本 字符"/>
    <w:basedOn w:val="25"/>
    <w:link w:val="11"/>
    <w:semiHidden/>
    <w:qFormat/>
    <w:uiPriority w:val="99"/>
    <w:rPr>
      <w:rFonts w:ascii="Times New Roman" w:hAnsi="Times New Roman" w:eastAsia="宋体" w:cs="Times New Roman"/>
      <w:kern w:val="0"/>
      <w:sz w:val="18"/>
      <w:szCs w:val="18"/>
    </w:rPr>
  </w:style>
  <w:style w:type="character" w:customStyle="1" w:styleId="50">
    <w:name w:val="标题 3 字符"/>
    <w:basedOn w:val="25"/>
    <w:link w:val="4"/>
    <w:qFormat/>
    <w:uiPriority w:val="9"/>
    <w:rPr>
      <w:rFonts w:ascii="等线" w:hAnsi="等线" w:eastAsia="等线" w:cs="宋体"/>
      <w:b/>
      <w:bCs/>
      <w:kern w:val="0"/>
      <w:szCs w:val="32"/>
    </w:rPr>
  </w:style>
  <w:style w:type="character" w:customStyle="1" w:styleId="51">
    <w:name w:val="标题 2 字符"/>
    <w:basedOn w:val="25"/>
    <w:link w:val="3"/>
    <w:qFormat/>
    <w:uiPriority w:val="9"/>
    <w:rPr>
      <w:rFonts w:ascii="等线" w:hAnsi="等线" w:eastAsia="等线" w:cstheme="majorBidi"/>
      <w:b/>
      <w:bCs/>
      <w:kern w:val="0"/>
      <w:sz w:val="21"/>
      <w:szCs w:val="32"/>
    </w:rPr>
  </w:style>
  <w:style w:type="paragraph" w:customStyle="1" w:styleId="52">
    <w:name w:val="TOC Heading"/>
    <w:basedOn w:val="2"/>
    <w:next w:val="1"/>
    <w:unhideWhenUsed/>
    <w:qFormat/>
    <w:uiPriority w:val="39"/>
    <w:pPr>
      <w:keepNext/>
      <w:keepLines/>
      <w:spacing w:before="480" w:after="0" w:line="276" w:lineRule="auto"/>
      <w:outlineLvl w:val="9"/>
    </w:pPr>
    <w:rPr>
      <w:rFonts w:asciiTheme="majorHAnsi" w:hAnsiTheme="majorHAnsi" w:eastAsiaTheme="majorEastAsia" w:cstheme="majorBidi"/>
      <w:color w:val="2F5597" w:themeColor="accent1" w:themeShade="BF"/>
      <w:kern w:val="0"/>
      <w:szCs w:val="28"/>
    </w:rPr>
  </w:style>
  <w:style w:type="table" w:customStyle="1" w:styleId="53">
    <w:name w:val="Grid Table Light"/>
    <w:basedOn w:val="2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54">
    <w:name w:val="Revision"/>
    <w:hidden/>
    <w:semiHidden/>
    <w:qFormat/>
    <w:uiPriority w:val="99"/>
    <w:rPr>
      <w:rFonts w:ascii="宋体" w:hAnsi="宋体" w:eastAsia="宋体" w:cs="宋体"/>
      <w:kern w:val="0"/>
      <w:sz w:val="24"/>
      <w:szCs w:val="24"/>
      <w:lang w:val="en-US" w:eastAsia="zh-CN" w:bidi="ar-SA"/>
    </w:rPr>
  </w:style>
  <w:style w:type="character" w:customStyle="1" w:styleId="55">
    <w:name w:val="标题 字符"/>
    <w:basedOn w:val="25"/>
    <w:link w:val="21"/>
    <w:qFormat/>
    <w:uiPriority w:val="10"/>
    <w:rPr>
      <w:rFonts w:eastAsia="Songti SC" w:asciiTheme="majorHAnsi" w:hAnsiTheme="majorHAnsi" w:cstheme="majorBidi"/>
      <w:b/>
      <w:bCs/>
      <w:kern w:val="0"/>
      <w:sz w:val="32"/>
      <w:szCs w:val="32"/>
    </w:rPr>
  </w:style>
  <w:style w:type="character" w:customStyle="1" w:styleId="56">
    <w:name w:val="副标题 字符"/>
    <w:basedOn w:val="25"/>
    <w:link w:val="16"/>
    <w:qFormat/>
    <w:uiPriority w:val="11"/>
    <w:rPr>
      <w:rFonts w:eastAsia="等线"/>
      <w:bCs/>
      <w:kern w:val="28"/>
      <w:sz w:val="21"/>
      <w:szCs w:val="32"/>
    </w:rPr>
  </w:style>
  <w:style w:type="paragraph" w:styleId="57">
    <w:name w:val="Quote"/>
    <w:basedOn w:val="1"/>
    <w:next w:val="1"/>
    <w:link w:val="58"/>
    <w:qFormat/>
    <w:uiPriority w:val="29"/>
    <w:pPr>
      <w:spacing w:before="25" w:beforeLines="25" w:line="240" w:lineRule="exact"/>
    </w:pPr>
    <w:rPr>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5"/>
    <w:link w:val="57"/>
    <w:qFormat/>
    <w:uiPriority w:val="29"/>
    <w:rPr>
      <w:rFonts w:ascii="等线" w:hAnsi="等线" w:eastAsia="等线" w:cs="宋体"/>
      <w:iCs/>
      <w:color w:val="404040" w:themeColor="text1" w:themeTint="BF"/>
      <w:kern w:val="0"/>
      <w:sz w:val="21"/>
      <w:szCs w:val="21"/>
      <w14:textFill>
        <w14:solidFill>
          <w14:schemeClr w14:val="tx1">
            <w14:lumMod w14:val="75000"/>
            <w14:lumOff w14:val="25000"/>
          </w14:schemeClr>
        </w14:solidFill>
      </w14:textFill>
    </w:rPr>
  </w:style>
  <w:style w:type="character" w:customStyle="1" w:styleId="59">
    <w:name w:val="标题 4 字符"/>
    <w:basedOn w:val="25"/>
    <w:link w:val="5"/>
    <w:semiHidden/>
    <w:qFormat/>
    <w:uiPriority w:val="9"/>
    <w:rPr>
      <w:rFonts w:asciiTheme="majorHAnsi" w:hAnsiTheme="majorHAnsi" w:eastAsiaTheme="majorEastAsia" w:cstheme="majorBidi"/>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4102</Words>
  <Characters>4132</Characters>
  <Lines>5</Lines>
  <Paragraphs>1</Paragraphs>
  <TotalTime>519</TotalTime>
  <ScaleCrop>false</ScaleCrop>
  <LinksUpToDate>false</LinksUpToDate>
  <CharactersWithSpaces>4218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2017-10-10T03:02:00Z</dcterms:created>
  <dc:creator>王华营</dc:creator>
  <cp:lastModifiedBy>王华营</cp:lastModifiedBy>
  <cp:lastPrinted>2018-09-08T01:56:00Z</cp:lastPrinted>
  <dcterms:modified xsi:type="dcterms:W3CDTF">2025-11-28T07:53:37Z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eyJoZGlkIjoiOThjYzZhMjliZTBlMTZjZGJlMTQyYTUzZDU1OGJkNzIiLCJ1c2VySWQiOiI5NzAwOTQ4OTQifQ==</vt:lpwstr>
  </property>
  <property fmtid="{D5CDD505-2E9C-101B-9397-08002B2CF9AE}" pid="3" name="KSOProductBuildVer">
    <vt:lpwstr>2052-12.1.0.23542</vt:lpwstr>
  </property>
  <property fmtid="{D5CDD505-2E9C-101B-9397-08002B2CF9AE}" pid="4" name="ICV">
    <vt:lpwstr>D84D80C698014829AF0AD7B5468DA125_13</vt:lpwstr>
  </property>
</Properties>
</file>