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EA344">
      <w:pPr>
        <w:spacing w:before="211" w:beforeLines="50" w:after="423" w:afterLines="100"/>
        <w:ind w:firstLine="0" w:firstLineChars="0"/>
        <w:jc w:val="center"/>
        <w:rPr>
          <w:rFonts w:ascii="宋体" w:hAnsi="宋体" w:eastAsia="宋体"/>
          <w:b/>
          <w:sz w:val="32"/>
          <w:szCs w:val="32"/>
        </w:rPr>
      </w:pPr>
      <w:r>
        <w:fldChar w:fldCharType="begin"/>
      </w:r>
      <w:r>
        <w:instrText xml:space="preserve"> HYPERLINK "https://alphalawyer.cn/ilawregu-search/api/v1/lawregu/redict/d8bde5bbd558f15f8c932f1b9e2746ba" </w:instrText>
      </w:r>
      <w:r>
        <w:fldChar w:fldCharType="separate"/>
      </w:r>
      <w:r>
        <w:rPr>
          <w:rFonts w:hint="eastAsia" w:ascii="宋体" w:hAnsi="宋体" w:eastAsia="宋体"/>
          <w:b/>
          <w:sz w:val="32"/>
          <w:szCs w:val="32"/>
        </w:rPr>
        <w:t>国家药监局关于深化化妆品监管改革促进产业高质量发展的意见</w:t>
      </w:r>
      <w:r>
        <w:rPr>
          <w:rFonts w:hint="eastAsia" w:ascii="宋体" w:hAnsi="宋体" w:eastAsia="宋体"/>
          <w:b/>
          <w:sz w:val="32"/>
          <w:szCs w:val="32"/>
        </w:rPr>
        <w:fldChar w:fldCharType="end"/>
      </w:r>
    </w:p>
    <w:p w14:paraId="1CE78CBD">
      <w:pPr>
        <w:spacing w:before="105"/>
        <w:ind w:firstLine="420"/>
      </w:pPr>
      <w:r>
        <w:rPr>
          <w:rStyle w:val="44"/>
          <w:rFonts w:ascii="宋体" w:hAnsi="宋体" w:eastAsia="宋体"/>
        </w:rPr>
        <w:t xml:space="preserve">时效性：  </w:t>
      </w:r>
      <w:r>
        <w:rPr>
          <w:rStyle w:val="44"/>
          <w:b w:val="0"/>
        </w:rPr>
        <w:t xml:space="preserve">  </w:t>
      </w:r>
      <w:r>
        <w:rPr>
          <w:rFonts w:ascii="宋体" w:hAnsi="宋体" w:eastAsia="宋体"/>
        </w:rPr>
        <w:t>现行有效</w:t>
      </w:r>
    </w:p>
    <w:p w14:paraId="628E1286">
      <w:pPr>
        <w:spacing w:before="105"/>
        <w:ind w:firstLine="420"/>
      </w:pPr>
      <w:r>
        <w:rPr>
          <w:rStyle w:val="44"/>
          <w:rFonts w:ascii="宋体" w:hAnsi="宋体" w:eastAsia="宋体"/>
        </w:rPr>
        <w:t>发文机关：</w:t>
      </w:r>
      <w:r>
        <w:rPr>
          <w:rStyle w:val="44"/>
          <w:b w:val="0"/>
        </w:rPr>
        <w:t xml:space="preserve">  </w:t>
      </w:r>
      <w:r>
        <w:rPr>
          <w:rFonts w:hint="eastAsia" w:ascii="宋体" w:hAnsi="宋体" w:eastAsia="宋体"/>
        </w:rPr>
        <w:t>国家药品监督管理局</w:t>
      </w:r>
    </w:p>
    <w:p w14:paraId="7045121C">
      <w:pPr>
        <w:spacing w:before="105"/>
        <w:ind w:firstLine="420"/>
      </w:pPr>
      <w:r>
        <w:rPr>
          <w:rStyle w:val="44"/>
          <w:rFonts w:ascii="宋体" w:hAnsi="宋体" w:eastAsia="宋体"/>
        </w:rPr>
        <w:t xml:space="preserve">文号：    </w:t>
      </w:r>
      <w:r>
        <w:rPr>
          <w:rStyle w:val="44"/>
          <w:b w:val="0"/>
        </w:rPr>
        <w:t xml:space="preserve"> </w:t>
      </w:r>
      <w:r>
        <w:rPr>
          <w:rStyle w:val="44"/>
          <w:rFonts w:hint="eastAsia" w:eastAsia="微软雅黑"/>
          <w:b w:val="0"/>
          <w:lang w:val="en-US" w:eastAsia="zh-CN"/>
        </w:rPr>
        <w:t xml:space="preserve"> </w:t>
      </w:r>
      <w:r>
        <w:rPr>
          <w:rFonts w:hint="eastAsia" w:ascii="宋体" w:hAnsi="宋体" w:eastAsia="宋体"/>
        </w:rPr>
        <w:t>国药监妆〔2025〕1</w:t>
      </w:r>
      <w:r>
        <w:rPr>
          <w:rFonts w:hint="eastAsia" w:ascii="宋体" w:hAnsi="宋体" w:eastAsia="宋体"/>
          <w:lang w:val="en-US" w:eastAsia="zh-CN"/>
        </w:rPr>
        <w:t>8</w:t>
      </w:r>
      <w:r>
        <w:rPr>
          <w:rFonts w:hint="eastAsia" w:ascii="宋体" w:hAnsi="宋体" w:eastAsia="宋体"/>
        </w:rPr>
        <w:t>号</w:t>
      </w:r>
    </w:p>
    <w:p w14:paraId="3592BE0F">
      <w:pPr>
        <w:spacing w:before="105"/>
        <w:ind w:firstLine="420"/>
        <w:rPr>
          <w:rStyle w:val="44"/>
          <w:rFonts w:hint="default" w:ascii="宋体" w:hAnsi="宋体" w:eastAsia="宋体"/>
          <w:lang w:val="en-US" w:eastAsia="zh-CN"/>
        </w:rPr>
      </w:pPr>
      <w:r>
        <w:rPr>
          <w:rStyle w:val="44"/>
          <w:rFonts w:hint="eastAsia" w:ascii="宋体" w:hAnsi="宋体" w:eastAsia="宋体"/>
          <w:lang w:val="en-US" w:eastAsia="zh-CN"/>
        </w:rPr>
        <w:t xml:space="preserve">文件属性：  </w:t>
      </w:r>
      <w:r>
        <w:rPr>
          <w:rFonts w:hint="eastAsia" w:ascii="宋体" w:hAnsi="宋体" w:eastAsia="宋体"/>
          <w:lang w:val="en-US" w:eastAsia="zh-CN"/>
        </w:rPr>
        <w:t>部门规范性文件</w:t>
      </w:r>
    </w:p>
    <w:p w14:paraId="35C1DB19">
      <w:pPr>
        <w:spacing w:before="105"/>
        <w:ind w:firstLine="420"/>
      </w:pPr>
      <w:r>
        <w:rPr>
          <w:rStyle w:val="44"/>
          <w:rFonts w:ascii="宋体" w:hAnsi="宋体" w:eastAsia="宋体"/>
        </w:rPr>
        <w:t>发文日期：</w:t>
      </w:r>
      <w:r>
        <w:rPr>
          <w:rStyle w:val="44"/>
          <w:b w:val="0"/>
        </w:rPr>
        <w:t xml:space="preserve">  </w:t>
      </w:r>
      <w:r>
        <w:rPr>
          <w:rFonts w:ascii="宋体" w:hAnsi="宋体" w:eastAsia="宋体"/>
        </w:rPr>
        <w:t>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11</w:t>
      </w:r>
      <w:r>
        <w:rPr>
          <w:rFonts w:ascii="宋体" w:hAnsi="宋体" w:eastAsia="宋体"/>
        </w:rPr>
        <w:t>月</w:t>
      </w:r>
      <w:r>
        <w:rPr>
          <w:rFonts w:hint="eastAsia" w:ascii="宋体" w:hAnsi="宋体" w:eastAsia="宋体"/>
          <w:lang w:val="en-US" w:eastAsia="zh-CN"/>
        </w:rPr>
        <w:t>17</w:t>
      </w:r>
      <w:r>
        <w:rPr>
          <w:rFonts w:ascii="宋体" w:hAnsi="宋体" w:eastAsia="宋体"/>
        </w:rPr>
        <w:t>日</w:t>
      </w:r>
    </w:p>
    <w:p w14:paraId="67BAF137">
      <w:pPr>
        <w:spacing w:before="105"/>
        <w:ind w:firstLine="420"/>
      </w:pPr>
      <w:r>
        <w:rPr>
          <w:rStyle w:val="44"/>
          <w:rFonts w:ascii="宋体" w:hAnsi="宋体" w:eastAsia="宋体"/>
        </w:rPr>
        <w:t>施行日期：</w:t>
      </w:r>
      <w:r>
        <w:rPr>
          <w:rStyle w:val="44"/>
          <w:b w:val="0"/>
        </w:rPr>
        <w:t xml:space="preserve">  </w:t>
      </w:r>
      <w:r>
        <w:rPr>
          <w:rFonts w:ascii="宋体" w:hAnsi="宋体" w:eastAsia="宋体"/>
        </w:rPr>
        <w:t>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11</w:t>
      </w:r>
      <w:r>
        <w:rPr>
          <w:rFonts w:ascii="宋体" w:hAnsi="宋体" w:eastAsia="宋体"/>
        </w:rPr>
        <w:t>月</w:t>
      </w:r>
      <w:r>
        <w:rPr>
          <w:rFonts w:hint="eastAsia" w:ascii="宋体" w:hAnsi="宋体" w:eastAsia="宋体"/>
          <w:lang w:val="en-US" w:eastAsia="zh-CN"/>
        </w:rPr>
        <w:t>17</w:t>
      </w:r>
      <w:r>
        <w:rPr>
          <w:rFonts w:ascii="宋体" w:hAnsi="宋体" w:eastAsia="宋体"/>
        </w:rPr>
        <w:t>日</w:t>
      </w:r>
    </w:p>
    <w:p w14:paraId="6F2651B7">
      <w:pPr>
        <w:spacing w:before="0" w:beforeLines="0" w:after="0" w:afterLines="0"/>
        <w:ind w:firstLine="420" w:firstLineChars="200"/>
        <w:rPr>
          <w:rFonts w:hint="default" w:ascii="宋体" w:hAnsi="宋体" w:eastAsia="宋体"/>
        </w:rPr>
      </w:pPr>
    </w:p>
    <w:p w14:paraId="66A2444E">
      <w:pPr>
        <w:spacing w:before="0" w:beforeLines="0" w:after="0" w:afterLines="0"/>
        <w:rPr>
          <w:rFonts w:hint="default" w:ascii="宋体" w:hAnsi="宋体" w:eastAsia="宋体"/>
        </w:rPr>
      </w:pPr>
      <w:r>
        <w:rPr>
          <w:rFonts w:hint="default" w:ascii="宋体" w:hAnsi="宋体" w:eastAsia="宋体"/>
        </w:rPr>
        <w:t>各省、自治区、直辖市和新疆生产建设兵团药品监督管理局：</w:t>
      </w:r>
    </w:p>
    <w:p w14:paraId="2AE9FC97">
      <w:pPr>
        <w:spacing w:before="0" w:beforeLines="0" w:after="0" w:afterLines="0"/>
        <w:ind w:firstLine="420" w:firstLineChars="200"/>
        <w:jc w:val="left"/>
        <w:rPr>
          <w:rFonts w:hint="default" w:ascii="宋体" w:hAnsi="宋体" w:eastAsia="宋体"/>
        </w:rPr>
      </w:pPr>
      <w:r>
        <w:rPr>
          <w:rFonts w:hint="default" w:ascii="宋体" w:hAnsi="宋体" w:eastAsia="宋体"/>
        </w:rPr>
        <w:t>　　化妆品是满足人民群众对美的需求和高品质生活向往的重要消费品。近年来，药品监管部门积极推进化妆品监管改革，加快完善化妆品监管法规体系，健全监管制度机制，创新监管方式方法，我国化妆品产业蓬勃发展，质量安全水平持续提升。为进一步统筹化妆品高质量发展和高水平安全，更好满足新时代人民群众对美好生活的新期盼，现就深化化妆品监管改革促进化妆品产业高质量发展提出以下意见。</w:t>
      </w:r>
    </w:p>
    <w:p w14:paraId="3C9604F4">
      <w:pPr>
        <w:spacing w:before="0" w:beforeLines="0" w:after="0" w:afterLines="0"/>
        <w:ind w:firstLine="420" w:firstLineChars="200"/>
        <w:jc w:val="left"/>
        <w:rPr>
          <w:rFonts w:hint="default" w:ascii="宋体" w:hAnsi="宋体" w:eastAsia="宋体"/>
        </w:rPr>
      </w:pPr>
    </w:p>
    <w:p w14:paraId="6161E44D">
      <w:pPr>
        <w:spacing w:before="0" w:beforeLines="0" w:after="0" w:afterLines="0"/>
        <w:ind w:firstLine="420" w:firstLineChars="200"/>
        <w:jc w:val="left"/>
        <w:rPr>
          <w:rFonts w:hint="default" w:ascii="宋体" w:hAnsi="宋体" w:eastAsia="宋体"/>
        </w:rPr>
      </w:pPr>
      <w:r>
        <w:rPr>
          <w:rFonts w:hint="default" w:ascii="宋体" w:hAnsi="宋体" w:eastAsia="宋体"/>
        </w:rPr>
        <w:t>　　一、总体要求</w:t>
      </w:r>
    </w:p>
    <w:p w14:paraId="2D68B8EB">
      <w:pPr>
        <w:spacing w:before="0" w:beforeLines="0" w:after="0" w:afterLines="0"/>
        <w:ind w:firstLine="420" w:firstLineChars="200"/>
        <w:jc w:val="left"/>
        <w:rPr>
          <w:rFonts w:hint="default" w:ascii="宋体" w:hAnsi="宋体" w:eastAsia="宋体"/>
        </w:rPr>
      </w:pPr>
    </w:p>
    <w:p w14:paraId="7A816188">
      <w:pPr>
        <w:spacing w:before="0" w:beforeLines="0" w:after="0" w:afterLines="0"/>
        <w:ind w:firstLine="420" w:firstLineChars="200"/>
        <w:jc w:val="left"/>
        <w:rPr>
          <w:rFonts w:hint="default" w:ascii="宋体" w:hAnsi="宋体" w:eastAsia="宋体"/>
        </w:rPr>
      </w:pPr>
      <w:r>
        <w:rPr>
          <w:rFonts w:hint="default" w:ascii="宋体" w:hAnsi="宋体" w:eastAsia="宋体"/>
        </w:rPr>
        <w:t>　　以习近平新时代中国特色社会主义思想为指导，全面贯彻党的二十大和二十届二中、三中、四中全会精神，落实全面深化改革要求，立足新发展阶段，贯彻新发展理念，构建新发展格局，坚持科学化、法治化、国际化、现代化的监管发展道路，按照“讲政治、强监管、保安全、促发展、惠民生”的要求，着力统筹发展与安全、活力与秩序、质量与效率、监管与服务，进一步增强监管改革的系统性、整体性和协调性，全过程深化化妆品监管改革，全方位筑牢化妆品安全底线，全链条支持化妆品产业高质量发展，加快推进我国从“制妆大国”向“制妆强国”的跨越，切实增进人民群众在化妆品领域的获得感、幸福感、安全感。</w:t>
      </w:r>
    </w:p>
    <w:p w14:paraId="0412565F">
      <w:pPr>
        <w:spacing w:before="0" w:beforeLines="0" w:after="0" w:afterLines="0"/>
        <w:ind w:firstLine="420" w:firstLineChars="200"/>
        <w:jc w:val="left"/>
        <w:rPr>
          <w:rFonts w:hint="default" w:ascii="宋体" w:hAnsi="宋体" w:eastAsia="宋体"/>
        </w:rPr>
      </w:pPr>
      <w:r>
        <w:rPr>
          <w:rFonts w:hint="default" w:ascii="宋体" w:hAnsi="宋体" w:eastAsia="宋体"/>
        </w:rPr>
        <w:t>　　到2030年，化妆品监管法律制度更加完善，标准体系更加健全，技术支撑更加有力，产业创新活力更加充沛，风险防控能力全面加强，质量安全水平显著提升。到2035年，化妆品质量安全监管体系达到国际先进水平，监管体系、监管机制、监管方式更好适应产业创新与高质量发展的内在要求，产业具有更强的创新创造力和全球竞争力，基本实现监管现代化。</w:t>
      </w:r>
    </w:p>
    <w:p w14:paraId="7EBE2680">
      <w:pPr>
        <w:spacing w:before="0" w:beforeLines="0" w:after="0" w:afterLines="0"/>
        <w:ind w:firstLine="420" w:firstLineChars="200"/>
        <w:jc w:val="left"/>
        <w:rPr>
          <w:rFonts w:hint="default" w:ascii="宋体" w:hAnsi="宋体" w:eastAsia="宋体"/>
        </w:rPr>
      </w:pPr>
      <w:r>
        <w:rPr>
          <w:rFonts w:hint="default" w:ascii="宋体" w:hAnsi="宋体" w:eastAsia="宋体"/>
        </w:rPr>
        <w:t>　　二、加大化妆品产业创新支持力度</w:t>
      </w:r>
    </w:p>
    <w:p w14:paraId="5024D5BA">
      <w:pPr>
        <w:spacing w:before="0" w:beforeLines="0" w:after="0" w:afterLines="0"/>
        <w:ind w:firstLine="420" w:firstLineChars="200"/>
        <w:jc w:val="left"/>
        <w:rPr>
          <w:rFonts w:hint="default" w:ascii="宋体" w:hAnsi="宋体" w:eastAsia="宋体"/>
        </w:rPr>
      </w:pPr>
    </w:p>
    <w:p w14:paraId="78BA5105">
      <w:pPr>
        <w:spacing w:before="0" w:beforeLines="0" w:after="0" w:afterLines="0"/>
        <w:ind w:firstLine="420" w:firstLineChars="200"/>
        <w:jc w:val="left"/>
        <w:rPr>
          <w:rFonts w:hint="default" w:ascii="宋体" w:hAnsi="宋体" w:eastAsia="宋体"/>
        </w:rPr>
      </w:pPr>
      <w:r>
        <w:rPr>
          <w:rFonts w:hint="default" w:ascii="宋体" w:hAnsi="宋体" w:eastAsia="宋体"/>
        </w:rPr>
        <w:t>　　（一）畅通新功效化妆品注册渠道。适应社会消费新需求和行业发展新趋势，支持新功效化妆品注册申报，对申报新功效化妆品即报即审。研究建立新功效化妆品注册申报前置咨询机制，适时调整化妆品分类规则与分类目录。</w:t>
      </w:r>
    </w:p>
    <w:p w14:paraId="33B394D2">
      <w:pPr>
        <w:spacing w:before="0" w:beforeLines="0" w:after="0" w:afterLines="0"/>
        <w:ind w:firstLine="420" w:firstLineChars="200"/>
        <w:jc w:val="left"/>
        <w:rPr>
          <w:rFonts w:hint="default" w:ascii="宋体" w:hAnsi="宋体" w:eastAsia="宋体"/>
        </w:rPr>
      </w:pPr>
      <w:r>
        <w:rPr>
          <w:rFonts w:hint="default" w:ascii="宋体" w:hAnsi="宋体" w:eastAsia="宋体"/>
        </w:rPr>
        <w:t>　　（二）鼓励化妆品新品在中国首发。对标国际高标准经贸规则，培育我国化妆品领域首发经济，对国际化妆品新品在中国首发上市的，参照专为向我国出口生产的相关规定，免于提交在生产国（地区）已上市销售的证明文件。</w:t>
      </w:r>
    </w:p>
    <w:p w14:paraId="76412F7A">
      <w:pPr>
        <w:spacing w:before="0" w:beforeLines="0" w:after="0" w:afterLines="0"/>
        <w:ind w:firstLine="420" w:firstLineChars="200"/>
        <w:jc w:val="left"/>
        <w:rPr>
          <w:rFonts w:hint="default" w:ascii="宋体" w:hAnsi="宋体" w:eastAsia="宋体"/>
        </w:rPr>
      </w:pPr>
      <w:r>
        <w:rPr>
          <w:rFonts w:hint="default" w:ascii="宋体" w:hAnsi="宋体" w:eastAsia="宋体"/>
        </w:rPr>
        <w:t>　　（三）促进化妆品银发经济发展。鼓励企业加强“银发族”化妆品的技术研发，开展皮肤衰老机理等前沿基础研究。支持适合老年群体特点和需求的化妆品开发应用和注册备案，满足老年群体多样化消费需求。</w:t>
      </w:r>
    </w:p>
    <w:p w14:paraId="0401FF9D">
      <w:pPr>
        <w:spacing w:before="0" w:beforeLines="0" w:after="0" w:afterLines="0"/>
        <w:ind w:firstLine="420" w:firstLineChars="200"/>
        <w:jc w:val="left"/>
        <w:rPr>
          <w:rFonts w:hint="default" w:ascii="宋体" w:hAnsi="宋体" w:eastAsia="宋体"/>
        </w:rPr>
      </w:pPr>
      <w:r>
        <w:rPr>
          <w:rFonts w:hint="default" w:ascii="宋体" w:hAnsi="宋体" w:eastAsia="宋体"/>
        </w:rPr>
        <w:t>　　（四）创新化妆品标签管理。适应化妆品产业智能化、绿色化发展需求，加快实施化妆品电子标签，制定化妆品电子标签的标注及数据管理要求，实现标签管理的数字化升级、精细化治理和便利化服务。</w:t>
      </w:r>
    </w:p>
    <w:p w14:paraId="2B48EE8C">
      <w:pPr>
        <w:spacing w:before="0" w:beforeLines="0" w:after="0" w:afterLines="0"/>
        <w:ind w:firstLine="420" w:firstLineChars="200"/>
        <w:jc w:val="left"/>
        <w:rPr>
          <w:rFonts w:hint="default" w:ascii="宋体" w:hAnsi="宋体" w:eastAsia="宋体"/>
        </w:rPr>
      </w:pPr>
      <w:r>
        <w:rPr>
          <w:rFonts w:hint="default" w:ascii="宋体" w:hAnsi="宋体" w:eastAsia="宋体"/>
        </w:rPr>
        <w:t>　　（五）创新个性化服务方式。适应公众个性化、精准化消费需求，坚持需求导向、安全可控、规范有序原则，探索化妆品个性化服务路径，允许化妆品备案人根据消费者需求，在经营场所提供已备案普通化妆品的现场简易调配、分装等服务。</w:t>
      </w:r>
    </w:p>
    <w:p w14:paraId="37E20BB1">
      <w:pPr>
        <w:spacing w:before="0" w:beforeLines="0" w:after="0" w:afterLines="0"/>
        <w:ind w:firstLine="420" w:firstLineChars="200"/>
        <w:jc w:val="left"/>
        <w:rPr>
          <w:rFonts w:hint="default" w:ascii="宋体" w:hAnsi="宋体" w:eastAsia="宋体"/>
        </w:rPr>
      </w:pPr>
      <w:r>
        <w:rPr>
          <w:rFonts w:hint="default" w:ascii="宋体" w:hAnsi="宋体" w:eastAsia="宋体"/>
        </w:rPr>
        <w:t>　　（六）加大产业扶持力度。鼓励省级药品监管部门积极争取政府支持，协调相关部门出台化妆品产业扶持政策，营造良好的产业创新环境，支持行业绿色低碳发展，通过政策赋能推动品牌崛起，培育具有国际竞争力的民族品牌化妆品。</w:t>
      </w:r>
    </w:p>
    <w:p w14:paraId="08339812">
      <w:pPr>
        <w:spacing w:before="0" w:beforeLines="0" w:after="0" w:afterLines="0"/>
        <w:ind w:firstLine="420" w:firstLineChars="200"/>
        <w:jc w:val="left"/>
        <w:rPr>
          <w:rFonts w:hint="default" w:ascii="宋体" w:hAnsi="宋体" w:eastAsia="宋体"/>
        </w:rPr>
      </w:pPr>
      <w:r>
        <w:rPr>
          <w:rFonts w:hint="default" w:ascii="宋体" w:hAnsi="宋体" w:eastAsia="宋体"/>
        </w:rPr>
        <w:t>　　三、提升化妆品注册备案管理效能</w:t>
      </w:r>
    </w:p>
    <w:p w14:paraId="02D3380A">
      <w:pPr>
        <w:spacing w:before="0" w:beforeLines="0" w:after="0" w:afterLines="0"/>
        <w:ind w:firstLine="420" w:firstLineChars="200"/>
        <w:jc w:val="left"/>
        <w:rPr>
          <w:rFonts w:hint="default" w:ascii="宋体" w:hAnsi="宋体" w:eastAsia="宋体"/>
        </w:rPr>
      </w:pPr>
      <w:r>
        <w:rPr>
          <w:rFonts w:hint="default" w:ascii="宋体" w:hAnsi="宋体" w:eastAsia="宋体"/>
        </w:rPr>
        <w:t>　　（七）支持化妆品原料技术创新。完善新原料分类管理及技术评价体系，探索建立符合国情且与国际接轨的原料命名规则，聚焦行业使用广、安全风险高及中国特色植物资源原料制定标准。构建研发审评协同机制，对符合条件的新原料设立前置咨询通道，提供早期介入、过程指导、动态优化的全流程服务。</w:t>
      </w:r>
    </w:p>
    <w:p w14:paraId="3B8209E8">
      <w:pPr>
        <w:spacing w:before="0" w:beforeLines="0" w:after="0" w:afterLines="0"/>
        <w:ind w:firstLine="420" w:firstLineChars="200"/>
        <w:jc w:val="left"/>
        <w:rPr>
          <w:rFonts w:hint="default" w:ascii="宋体" w:hAnsi="宋体" w:eastAsia="宋体"/>
        </w:rPr>
      </w:pPr>
      <w:r>
        <w:rPr>
          <w:rFonts w:hint="default" w:ascii="宋体" w:hAnsi="宋体" w:eastAsia="宋体"/>
        </w:rPr>
        <w:t>　　（八）优化化妆品注册备案资料。在保障化妆品质量安全和满足监管需求的前提下，允许仅着色剂、香精等成分的种类或者含量上存在差异的配方体系近似的同一品牌产品，注册备案时共用产品安全性技术资料。对因生产场地变化需重新注册备案的化妆品，除微生物和理化检验报告外，允许使用原注册备案技术资料。强化化妆品注册人备案人质量安全主体责任，将化妆品原料安全相关信息调整为企业自行存档备查。</w:t>
      </w:r>
    </w:p>
    <w:p w14:paraId="513FFA5D">
      <w:pPr>
        <w:spacing w:before="0" w:beforeLines="0" w:after="0" w:afterLines="0"/>
        <w:ind w:firstLine="420" w:firstLineChars="200"/>
        <w:jc w:val="left"/>
        <w:rPr>
          <w:rFonts w:hint="default" w:ascii="宋体" w:hAnsi="宋体" w:eastAsia="宋体"/>
        </w:rPr>
      </w:pPr>
      <w:r>
        <w:rPr>
          <w:rFonts w:hint="default" w:ascii="宋体" w:hAnsi="宋体" w:eastAsia="宋体"/>
        </w:rPr>
        <w:t>　　（九）提高技术审评质效。探索建立“国家局—省局”联合审评协同机制，委托具备能力的省级药品监管部门承担特殊化妆品部分技术审评工作。对特殊化妆品变更事项分类管理，将高风险、低风险变更事项审评时限从90个工作日分别缩短至60个工作日、45个工作日，不涉及安全性、功效宣称的变更事项允许注册人自行维护产品注册信息。</w:t>
      </w:r>
    </w:p>
    <w:p w14:paraId="29DA0BCC">
      <w:pPr>
        <w:spacing w:before="0" w:beforeLines="0" w:after="0" w:afterLines="0"/>
        <w:ind w:firstLine="420" w:firstLineChars="200"/>
        <w:jc w:val="left"/>
        <w:rPr>
          <w:rFonts w:hint="default" w:ascii="宋体" w:hAnsi="宋体" w:eastAsia="宋体"/>
        </w:rPr>
      </w:pPr>
      <w:r>
        <w:rPr>
          <w:rFonts w:hint="default" w:ascii="宋体" w:hAnsi="宋体" w:eastAsia="宋体"/>
        </w:rPr>
        <w:t>　　（十）优化安全评估制度。加强化妆品安全评估技术研究与创新，推广应用先进评估技术和策略，持续完善化妆品安全评估技术指南，提升评估工作的科学性、精准性和应用性。引导督促化妆品企业强化安全评估理念，落实产品全生命周期管理责任，不断提高产品质量安全保障能力。</w:t>
      </w:r>
    </w:p>
    <w:p w14:paraId="0938C134">
      <w:pPr>
        <w:spacing w:before="0" w:beforeLines="0" w:after="0" w:afterLines="0"/>
        <w:ind w:firstLine="420" w:firstLineChars="200"/>
        <w:jc w:val="left"/>
        <w:rPr>
          <w:rFonts w:hint="default" w:ascii="宋体" w:hAnsi="宋体" w:eastAsia="宋体"/>
        </w:rPr>
      </w:pPr>
    </w:p>
    <w:p w14:paraId="37B1EA6D">
      <w:pPr>
        <w:spacing w:before="0" w:beforeLines="0" w:after="0" w:afterLines="0"/>
        <w:ind w:firstLine="420" w:firstLineChars="200"/>
        <w:jc w:val="left"/>
        <w:rPr>
          <w:rFonts w:hint="default" w:ascii="宋体" w:hAnsi="宋体" w:eastAsia="宋体"/>
        </w:rPr>
      </w:pPr>
      <w:r>
        <w:rPr>
          <w:rFonts w:hint="default" w:ascii="宋体" w:hAnsi="宋体" w:eastAsia="宋体"/>
        </w:rPr>
        <w:t>　　（十一）优化功效宣称管理。除祛斑美白、防晒、防脱发功效外，允许化妆品注册人备案人自主选择功效宣称评价试验方法进行功效宣称评价。允许仅着色剂、香精、防腐剂等成分的种类或者含量上存在差异的配方体系近似的同一品牌产品，共享功效宣称评价试验数据。支持化妆品行业协会等社会组织加强行业自律，聚焦行业普遍关注的重点功效类别，研究化妆品功效宣称指引，引导规范标签宣称用语。</w:t>
      </w:r>
    </w:p>
    <w:p w14:paraId="067684AE">
      <w:pPr>
        <w:spacing w:before="0" w:beforeLines="0" w:after="0" w:afterLines="0"/>
        <w:ind w:firstLine="420" w:firstLineChars="200"/>
        <w:jc w:val="left"/>
        <w:rPr>
          <w:rFonts w:hint="default" w:ascii="宋体" w:hAnsi="宋体" w:eastAsia="宋体"/>
        </w:rPr>
      </w:pPr>
      <w:r>
        <w:rPr>
          <w:rFonts w:hint="default" w:ascii="宋体" w:hAnsi="宋体" w:eastAsia="宋体"/>
        </w:rPr>
        <w:t>　　四、完善化妆品生产经营监管机制</w:t>
      </w:r>
    </w:p>
    <w:p w14:paraId="60467082">
      <w:pPr>
        <w:spacing w:before="0" w:beforeLines="0" w:after="0" w:afterLines="0"/>
        <w:ind w:firstLine="420" w:firstLineChars="200"/>
        <w:jc w:val="left"/>
        <w:rPr>
          <w:rFonts w:hint="default" w:ascii="宋体" w:hAnsi="宋体" w:eastAsia="宋体"/>
        </w:rPr>
      </w:pPr>
      <w:r>
        <w:rPr>
          <w:rFonts w:hint="default" w:ascii="宋体" w:hAnsi="宋体" w:eastAsia="宋体"/>
        </w:rPr>
        <w:t>　　（十二）推动企业分级分类监管。鼓励地方各级药品监管部门按照风险管理的原则，建立健全化妆品生产经营主体的分级分类管理机制。依据企业的质量管理体系、风险防控能力等关键要素，科学评估风险等级，合理配置监管资源，有效提升监管效能。</w:t>
      </w:r>
    </w:p>
    <w:p w14:paraId="08BED950">
      <w:pPr>
        <w:spacing w:before="0" w:beforeLines="0" w:after="0" w:afterLines="0"/>
        <w:ind w:firstLine="420" w:firstLineChars="200"/>
        <w:jc w:val="left"/>
        <w:rPr>
          <w:rFonts w:hint="default" w:ascii="宋体" w:hAnsi="宋体" w:eastAsia="宋体"/>
        </w:rPr>
      </w:pPr>
      <w:r>
        <w:rPr>
          <w:rFonts w:hint="default" w:ascii="宋体" w:hAnsi="宋体" w:eastAsia="宋体"/>
        </w:rPr>
        <w:t>　　（十三）优化生产质量管理。深入开展化妆品企业生产质量管理体系提升行动，探索优化生产管理制度，全面提升企业生产质量管理体系运行效能与产品质量安全保障能力。鼓励省级药品监管部门探索与生产场地执行同一生产质量管理体系外设仓库的产品放行管理要求和适应化妆品智能化生产的质量管理要求，推动建立化妆品研发与生产、检测与分析、安全与功效评价等质量安全专业人才的职称评定体系。</w:t>
      </w:r>
    </w:p>
    <w:p w14:paraId="23FD1BF9">
      <w:pPr>
        <w:spacing w:before="0" w:beforeLines="0" w:after="0" w:afterLines="0"/>
        <w:ind w:firstLine="420" w:firstLineChars="200"/>
        <w:jc w:val="left"/>
        <w:rPr>
          <w:rFonts w:hint="default" w:ascii="宋体" w:hAnsi="宋体" w:eastAsia="宋体"/>
        </w:rPr>
      </w:pPr>
      <w:r>
        <w:rPr>
          <w:rFonts w:hint="default" w:ascii="宋体" w:hAnsi="宋体" w:eastAsia="宋体"/>
        </w:rPr>
        <w:t>　　（十四）强化网络经营监管。健全“以网管网”监管机制，持续优化国家化妆品网络经营监测平台功能，提高风险识别能力和网络监测效能。压实电商平台对平台内经营者管理责任，持续强化监管协作和风险共治机制，推动行政监管和平台治理协同发力，排查化解化妆品安全风险隐患。对未经注册备案、非法添加禁用物质、经营者自行配制等典型违法行为加强重点监测，提升网络经营化妆品的质量安全水平。</w:t>
      </w:r>
    </w:p>
    <w:p w14:paraId="268B4B18">
      <w:pPr>
        <w:spacing w:before="0" w:beforeLines="0" w:after="0" w:afterLines="0"/>
        <w:ind w:firstLine="420" w:firstLineChars="200"/>
        <w:jc w:val="left"/>
        <w:rPr>
          <w:rFonts w:hint="default" w:ascii="宋体" w:hAnsi="宋体" w:eastAsia="宋体"/>
        </w:rPr>
      </w:pPr>
      <w:r>
        <w:rPr>
          <w:rFonts w:hint="default" w:ascii="宋体" w:hAnsi="宋体" w:eastAsia="宋体"/>
        </w:rPr>
        <w:t>　　（十五）强化不良反应监测与评价。完善化妆品不良反应监测体系，优化升级不良反应监测平台功能，强化数据质量管理，提升监测数据的准确性和可利用性。推动国家不良反应监测数据共享，落实化妆品注册人备案人分析评价的主体责任，进一步强化监测数据的深度分析、科学评价与风险研判，推动评价结果的转化运用。</w:t>
      </w:r>
    </w:p>
    <w:p w14:paraId="7AD0EEF7">
      <w:pPr>
        <w:spacing w:before="0" w:beforeLines="0" w:after="0" w:afterLines="0"/>
        <w:ind w:firstLine="420" w:firstLineChars="200"/>
        <w:jc w:val="left"/>
        <w:rPr>
          <w:rFonts w:hint="default" w:ascii="宋体" w:hAnsi="宋体" w:eastAsia="宋体"/>
        </w:rPr>
      </w:pPr>
      <w:r>
        <w:rPr>
          <w:rFonts w:hint="default" w:ascii="宋体" w:hAnsi="宋体" w:eastAsia="宋体"/>
        </w:rPr>
        <w:t>　　（十六）加强注册备案延伸监管。推动省级药品监管部门根据化妆品注册备案工作需要加强注册备案数据的真实性核查，探索开展对检验机构等的延伸检查，推动构建全链条风险防控体系。</w:t>
      </w:r>
    </w:p>
    <w:p w14:paraId="5E9A6D0A">
      <w:pPr>
        <w:spacing w:before="0" w:beforeLines="0" w:after="0" w:afterLines="0"/>
        <w:ind w:firstLine="420" w:firstLineChars="200"/>
        <w:jc w:val="left"/>
        <w:rPr>
          <w:rFonts w:hint="default" w:ascii="宋体" w:hAnsi="宋体" w:eastAsia="宋体"/>
        </w:rPr>
      </w:pPr>
      <w:r>
        <w:rPr>
          <w:rFonts w:hint="default" w:ascii="宋体" w:hAnsi="宋体" w:eastAsia="宋体"/>
        </w:rPr>
        <w:t>　　五、强化化妆品监管技术支撑保障</w:t>
      </w:r>
    </w:p>
    <w:p w14:paraId="66FC4E65">
      <w:pPr>
        <w:spacing w:before="0" w:beforeLines="0" w:after="0" w:afterLines="0"/>
        <w:ind w:firstLine="420" w:firstLineChars="200"/>
        <w:jc w:val="left"/>
        <w:rPr>
          <w:rFonts w:hint="default" w:ascii="宋体" w:hAnsi="宋体" w:eastAsia="宋体"/>
        </w:rPr>
      </w:pPr>
      <w:r>
        <w:rPr>
          <w:rFonts w:hint="default" w:ascii="宋体" w:hAnsi="宋体" w:eastAsia="宋体"/>
        </w:rPr>
        <w:t>　　（十七）加强监管队伍和能力建设。充实化妆品审评专业技术力量，优化化妆品检查员队伍结构，强化化妆品审评和检查员队伍系统化培训、专业化管理和科学化考核。鼓励省级药品监管部门之间深化交流协作，加强资源共享、信息互通与监管协同，积极探索监管模式创新。鼓励省级药品监管部门积极参与特殊化妆品注册、化妆品新原料注册备案前置咨询等工作。</w:t>
      </w:r>
    </w:p>
    <w:p w14:paraId="1C52387C">
      <w:pPr>
        <w:spacing w:before="0" w:beforeLines="0" w:after="0" w:afterLines="0"/>
        <w:ind w:firstLine="420" w:firstLineChars="200"/>
        <w:jc w:val="left"/>
        <w:rPr>
          <w:rFonts w:hint="default" w:ascii="宋体" w:hAnsi="宋体" w:eastAsia="宋体"/>
        </w:rPr>
      </w:pPr>
      <w:r>
        <w:rPr>
          <w:rFonts w:hint="default" w:ascii="宋体" w:hAnsi="宋体" w:eastAsia="宋体"/>
        </w:rPr>
        <w:t>　　（十八）完善标准体系建设。加快推进科学、统一、权威、高效的化妆品标准管理体系，研究制定化妆品标准建设规划。加速推进以保障安全为核心的强制性国家标准建设，强化基础安全标准的约束力。聚焦原料安全控制、安全与功效评价、新兴技术应用等重点领域和薄弱环节，精准填补标准体系空白，为产业规范发展和质量安全提升提供标准化支撑。</w:t>
      </w:r>
    </w:p>
    <w:p w14:paraId="38C53171">
      <w:pPr>
        <w:spacing w:before="0" w:beforeLines="0" w:after="0" w:afterLines="0"/>
        <w:ind w:firstLine="420" w:firstLineChars="200"/>
        <w:jc w:val="left"/>
        <w:rPr>
          <w:rFonts w:hint="default" w:ascii="宋体" w:hAnsi="宋体" w:eastAsia="宋体"/>
        </w:rPr>
      </w:pPr>
      <w:r>
        <w:rPr>
          <w:rFonts w:hint="default" w:ascii="宋体" w:hAnsi="宋体" w:eastAsia="宋体"/>
        </w:rPr>
        <w:t>　　（十九）深化监管科学研究。充分发挥化妆品监管科学创新研究基地作用，围绕安全评估、创新产品与原料、风险预警等关键领域，布局重大科研攻关任务。完善监管科学研究成果转化应用机制，加快研发监管新工具、新标准、新方法，提升监管的科学化、现代化水平。</w:t>
      </w:r>
    </w:p>
    <w:p w14:paraId="2E0FFE9F">
      <w:pPr>
        <w:spacing w:before="0" w:beforeLines="0" w:after="0" w:afterLines="0"/>
        <w:ind w:firstLine="420" w:firstLineChars="200"/>
        <w:jc w:val="left"/>
        <w:rPr>
          <w:rFonts w:hint="default" w:ascii="宋体" w:hAnsi="宋体" w:eastAsia="宋体"/>
        </w:rPr>
      </w:pPr>
      <w:r>
        <w:rPr>
          <w:rFonts w:hint="default" w:ascii="宋体" w:hAnsi="宋体" w:eastAsia="宋体"/>
        </w:rPr>
        <w:t>　　（二十）加强监管信息化建设。进一步提升化妆品智慧监管能力，推动化妆品监管全业务全流程数字化，涉企政务事项全环节全流程在线办理，优化升级化妆品监管APP，提升服务基层监管效能和公众科普服务水平。完善化妆品注册人备案人信息档案，强化数据汇集与治理，推进场景应用，充分发挥档案数据在监管中的作用。鼓励各省级药品监管部门加快智慧化转型，加强人工智能在化妆品备案、生产和经营监管等领域的应用研究，提升监管工作效率。</w:t>
      </w:r>
    </w:p>
    <w:p w14:paraId="3B253B44">
      <w:pPr>
        <w:spacing w:before="0" w:beforeLines="0" w:after="0" w:afterLines="0"/>
        <w:ind w:firstLine="420" w:firstLineChars="200"/>
        <w:jc w:val="left"/>
        <w:rPr>
          <w:rFonts w:hint="default" w:ascii="宋体" w:hAnsi="宋体" w:eastAsia="宋体"/>
        </w:rPr>
      </w:pPr>
      <w:r>
        <w:rPr>
          <w:rFonts w:hint="default" w:ascii="宋体" w:hAnsi="宋体" w:eastAsia="宋体"/>
        </w:rPr>
        <w:t>　　六、推动化妆品监管与国际接轨</w:t>
      </w:r>
    </w:p>
    <w:p w14:paraId="3F3CD5F1">
      <w:pPr>
        <w:spacing w:before="0" w:beforeLines="0" w:after="0" w:afterLines="0"/>
        <w:ind w:firstLine="420" w:firstLineChars="200"/>
        <w:jc w:val="left"/>
        <w:rPr>
          <w:rFonts w:hint="default" w:ascii="宋体" w:hAnsi="宋体" w:eastAsia="宋体"/>
        </w:rPr>
      </w:pPr>
      <w:r>
        <w:rPr>
          <w:rFonts w:hint="default" w:ascii="宋体" w:hAnsi="宋体" w:eastAsia="宋体"/>
        </w:rPr>
        <w:t>　　（二十一）深化国际交流与合作。深度参与国际化妆品监管合作组织框架下的技术文件制定与监管协调，建立健全国际化妆品监管动态的常态化跟踪、研判与响应机制。积极推动化妆品监管趋同、协调和信赖，鼓励化妆品行业协会等社会组织服务国产化妆品“出海”，助力中国化妆品产业国际化发展。</w:t>
      </w:r>
    </w:p>
    <w:p w14:paraId="7E181BE6">
      <w:pPr>
        <w:spacing w:before="0" w:beforeLines="0" w:after="0" w:afterLines="0"/>
        <w:ind w:firstLine="420" w:firstLineChars="200"/>
        <w:jc w:val="left"/>
        <w:rPr>
          <w:rFonts w:hint="default" w:ascii="宋体" w:hAnsi="宋体" w:eastAsia="宋体"/>
        </w:rPr>
      </w:pPr>
      <w:r>
        <w:rPr>
          <w:rFonts w:hint="default" w:ascii="宋体" w:hAnsi="宋体" w:eastAsia="宋体"/>
        </w:rPr>
        <w:t>　　（二十二）提升标准国际化水平。深化国际化妆品标准体系研究，加快国际通行标准转化与应用，推动国内标准与国际接轨。积极参与并推动国际标准的立项、研究与制定，增强我国在国际化妆品标准领域的影响力和话语权。</w:t>
      </w:r>
    </w:p>
    <w:p w14:paraId="46ABD54A">
      <w:pPr>
        <w:spacing w:before="0" w:beforeLines="0" w:after="0" w:afterLines="0"/>
        <w:ind w:firstLine="420" w:firstLineChars="200"/>
        <w:jc w:val="left"/>
        <w:rPr>
          <w:rFonts w:hint="default" w:ascii="宋体" w:hAnsi="宋体" w:eastAsia="宋体"/>
        </w:rPr>
      </w:pPr>
      <w:r>
        <w:rPr>
          <w:rFonts w:hint="default" w:ascii="宋体" w:hAnsi="宋体" w:eastAsia="宋体"/>
        </w:rPr>
        <w:t>　　（二十三）加快推进动物试验减免。遵循“减少、代替、优化”原则，加快推动减少化妆品动物试验依赖，从烫发、非氧化型染发和使用监测期新原料的化妆品等着手，逐步推行动物试验豁免。坚持“能转尽转”，加速动物替代试验方法开发、转化和应用。</w:t>
      </w:r>
    </w:p>
    <w:p w14:paraId="1DBDFB17">
      <w:pPr>
        <w:spacing w:before="0" w:beforeLines="0" w:after="0" w:afterLines="0"/>
        <w:ind w:firstLine="420" w:firstLineChars="200"/>
        <w:jc w:val="left"/>
        <w:rPr>
          <w:rFonts w:hint="default" w:ascii="宋体" w:hAnsi="宋体" w:eastAsia="宋体"/>
        </w:rPr>
      </w:pPr>
      <w:r>
        <w:rPr>
          <w:rFonts w:hint="default" w:ascii="宋体" w:hAnsi="宋体" w:eastAsia="宋体"/>
        </w:rPr>
        <w:t>　　（二十四）优化准用原料管理机制。建立防腐剂、防晒剂、着色剂、染发剂等的标准动态更新机制，支持将经国际权威机构科学评估、具有国外安全使用历史的原料，及时纳入我国准用原料目录。</w:t>
      </w:r>
    </w:p>
    <w:p w14:paraId="77312D56">
      <w:pPr>
        <w:spacing w:before="0" w:beforeLines="0" w:after="0" w:afterLines="0"/>
        <w:ind w:firstLine="420" w:firstLineChars="200"/>
        <w:jc w:val="left"/>
        <w:rPr>
          <w:rFonts w:hint="default" w:ascii="宋体" w:hAnsi="宋体" w:eastAsia="宋体"/>
        </w:rPr>
      </w:pPr>
      <w:bookmarkStart w:id="0" w:name="_GoBack"/>
      <w:bookmarkEnd w:id="0"/>
      <w:r>
        <w:rPr>
          <w:rFonts w:hint="default" w:ascii="宋体" w:hAnsi="宋体" w:eastAsia="宋体"/>
        </w:rPr>
        <w:t>　　各级药品监管部门要把坚持和加强党的领导贯穿于深化化妆品监管改革的各方面和全过程，深刻认识深化化妆品监管改革对推动产业高质量发展和高水平安全的重大意义，坚决贯彻“四个最严”要求，以高度的责任感和使命感，紧密结合本地区实际，全面落实本意见提出的各项改革举措和工作要求，确保各项改革任务落实到位、取得成效。</w:t>
      </w:r>
    </w:p>
    <w:p w14:paraId="0568EDAD">
      <w:pPr>
        <w:spacing w:before="0" w:beforeLines="0" w:after="0" w:afterLines="0"/>
        <w:ind w:firstLine="420" w:firstLineChars="200"/>
        <w:jc w:val="right"/>
        <w:rPr>
          <w:rFonts w:hint="default" w:ascii="宋体" w:hAnsi="宋体" w:eastAsia="宋体"/>
        </w:rPr>
      </w:pPr>
    </w:p>
    <w:p w14:paraId="69C24A57">
      <w:pPr>
        <w:spacing w:before="0" w:beforeLines="0" w:after="0" w:afterLines="0"/>
        <w:ind w:firstLine="420" w:firstLineChars="200"/>
        <w:jc w:val="right"/>
        <w:rPr>
          <w:rFonts w:hint="default" w:ascii="宋体" w:hAnsi="宋体" w:eastAsia="宋体"/>
        </w:rPr>
      </w:pPr>
    </w:p>
    <w:p w14:paraId="595F175B">
      <w:pPr>
        <w:spacing w:before="0" w:beforeLines="0" w:after="0" w:afterLines="0"/>
        <w:ind w:firstLine="420" w:firstLineChars="200"/>
        <w:jc w:val="right"/>
        <w:rPr>
          <w:rFonts w:hint="default" w:ascii="宋体" w:hAnsi="宋体" w:eastAsia="宋体"/>
        </w:rPr>
      </w:pPr>
      <w:r>
        <w:rPr>
          <w:rFonts w:hint="default" w:ascii="宋体" w:hAnsi="宋体" w:eastAsia="宋体"/>
        </w:rPr>
        <w:t>国家药监局</w:t>
      </w:r>
    </w:p>
    <w:p w14:paraId="3E993EEE">
      <w:pPr>
        <w:spacing w:before="0" w:beforeLines="0" w:after="0" w:afterLines="0"/>
        <w:ind w:firstLine="420" w:firstLineChars="200"/>
        <w:jc w:val="right"/>
        <w:rPr>
          <w:rFonts w:hint="default" w:ascii="宋体" w:hAnsi="宋体" w:eastAsia="宋体"/>
        </w:rPr>
      </w:pPr>
    </w:p>
    <w:p w14:paraId="13192B2F">
      <w:pPr>
        <w:spacing w:before="0" w:beforeLines="0" w:after="0" w:afterLines="0"/>
        <w:ind w:firstLine="420" w:firstLineChars="200"/>
        <w:jc w:val="right"/>
        <w:rPr>
          <w:rFonts w:hint="default" w:ascii="宋体" w:hAnsi="宋体" w:eastAsia="宋体"/>
        </w:rPr>
      </w:pPr>
      <w:r>
        <w:rPr>
          <w:rFonts w:hint="default" w:ascii="宋体" w:hAnsi="宋体" w:eastAsia="宋体"/>
        </w:rPr>
        <w:t>2025年11月14日</w:t>
      </w:r>
    </w:p>
    <w:sectPr>
      <w:headerReference r:id="rId7" w:type="first"/>
      <w:footerReference r:id="rId10" w:type="first"/>
      <w:headerReference r:id="rId5" w:type="default"/>
      <w:footerReference r:id="rId8" w:type="default"/>
      <w:headerReference r:id="rId6" w:type="even"/>
      <w:footerReference r:id="rId9" w:type="even"/>
      <w:pgSz w:w="11900" w:h="16840"/>
      <w:pgMar w:top="1440" w:right="1080" w:bottom="1440" w:left="1080" w:header="850" w:footer="992" w:gutter="0"/>
      <w:pgNumType w:fmt="numberInDash" w:start="1"/>
      <w:cols w:space="425" w:num="1"/>
      <w:docGrid w:type="lines" w:linePitch="42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ongti SC">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1B08D">
    <w:pPr>
      <w:spacing w:before="120"/>
      <w:ind w:firstLine="360"/>
      <w:jc w:val="center"/>
      <w:rPr>
        <w:rFonts w:hint="eastAsia" w:ascii="宋体" w:hAnsi="宋体" w:eastAsia="宋体"/>
        <w:sz w:val="18"/>
        <w:szCs w:val="18"/>
      </w:rPr>
    </w:pPr>
    <w:r>
      <w:rPr>
        <w:rFonts w:ascii="宋体" w:hAnsi="宋体" w:eastAsia="宋体"/>
        <w:sz w:val="18"/>
        <w:szCs w:val="18"/>
      </w:rPr>
      <w:fldChar w:fldCharType="begin"/>
    </w:r>
    <w:r>
      <w:rPr>
        <w:rFonts w:ascii="宋体" w:hAnsi="宋体" w:eastAsia="宋体"/>
        <w:sz w:val="18"/>
        <w:szCs w:val="18"/>
      </w:rPr>
      <w:instrText xml:space="preserve"> PAGE \* Arabic \* MERGEFORMAT </w:instrText>
    </w:r>
    <w:r>
      <w:rPr>
        <w:rFonts w:ascii="宋体" w:hAnsi="宋体" w:eastAsia="宋体"/>
        <w:sz w:val="18"/>
        <w:szCs w:val="18"/>
      </w:rPr>
      <w:fldChar w:fldCharType="separate"/>
    </w:r>
    <w:r>
      <w:rPr>
        <w:rFonts w:ascii="宋体" w:hAnsi="宋体" w:eastAsia="宋体"/>
        <w:sz w:val="18"/>
        <w:szCs w:val="18"/>
      </w:rPr>
      <w:t>1</w:t>
    </w:r>
    <w:r>
      <w:rPr>
        <w:rFonts w:ascii="宋体" w:hAnsi="宋体" w:eastAsia="宋体"/>
        <w:sz w:val="18"/>
        <w:szCs w:val="18"/>
      </w:rPr>
      <w:fldChar w:fldCharType="end"/>
    </w:r>
    <w:r>
      <w:rPr>
        <w:rFonts w:ascii="宋体" w:hAnsi="宋体" w:eastAsia="宋体"/>
        <w:sz w:val="18"/>
        <w:szCs w:val="18"/>
      </w:rPr>
      <w:t xml:space="preserve"> </w:t>
    </w:r>
    <w:r>
      <w:rPr>
        <w:rFonts w:hint="eastAsia" w:ascii="宋体" w:hAnsi="宋体" w:eastAsia="宋体"/>
        <w:sz w:val="18"/>
        <w:szCs w:val="18"/>
      </w:rPr>
      <w:t>/</w:t>
    </w:r>
    <w:r>
      <w:rPr>
        <w:rFonts w:ascii="宋体" w:hAnsi="宋体" w:eastAsia="宋体"/>
        <w:sz w:val="18"/>
        <w:szCs w:val="18"/>
      </w:rPr>
      <w:t xml:space="preserve"> </w:t>
    </w:r>
    <w:r>
      <w:rPr>
        <w:rFonts w:ascii="宋体" w:hAnsi="宋体" w:eastAsia="宋体"/>
        <w:sz w:val="18"/>
        <w:szCs w:val="18"/>
      </w:rPr>
      <w:fldChar w:fldCharType="begin"/>
    </w:r>
    <w:r>
      <w:rPr>
        <w:rFonts w:ascii="宋体" w:hAnsi="宋体" w:eastAsia="宋体"/>
        <w:sz w:val="18"/>
        <w:szCs w:val="18"/>
      </w:rPr>
      <w:instrText xml:space="preserve"> NUMPAGES  \* MERGEFORMAT </w:instrText>
    </w:r>
    <w:r>
      <w:rPr>
        <w:rFonts w:ascii="宋体" w:hAnsi="宋体" w:eastAsia="宋体"/>
        <w:sz w:val="18"/>
        <w:szCs w:val="18"/>
      </w:rPr>
      <w:fldChar w:fldCharType="separate"/>
    </w:r>
    <w:r>
      <w:rPr>
        <w:rFonts w:ascii="宋体" w:hAnsi="宋体" w:eastAsia="宋体"/>
        <w:sz w:val="18"/>
        <w:szCs w:val="18"/>
      </w:rPr>
      <w:t>1</w:t>
    </w:r>
    <w:r>
      <w:rPr>
        <w:rFonts w:ascii="宋体" w:hAnsi="宋体" w:eastAsia="宋体"/>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8974F">
    <w:pPr>
      <w:pStyle w:val="12"/>
      <w:spacing w:before="120"/>
      <w:ind w:firstLine="360"/>
      <w:rPr>
        <w:rStyle w:val="26"/>
      </w:rPr>
    </w:pPr>
    <w:r>
      <w:rPr>
        <w:rStyle w:val="26"/>
      </w:rPr>
      <w:fldChar w:fldCharType="begin"/>
    </w:r>
    <w:r>
      <w:rPr>
        <w:rStyle w:val="26"/>
      </w:rPr>
      <w:instrText xml:space="preserve">PAGE  </w:instrText>
    </w:r>
    <w:r>
      <w:rPr>
        <w:rStyle w:val="26"/>
      </w:rPr>
      <w:fldChar w:fldCharType="end"/>
    </w:r>
  </w:p>
  <w:p w14:paraId="65A1A4A3">
    <w:pPr>
      <w:pStyle w:val="12"/>
      <w:spacing w:before="120"/>
      <w:ind w:firstLine="360"/>
      <w:rPr>
        <w:rStyle w:val="26"/>
      </w:rPr>
    </w:pPr>
    <w:r>
      <w:rPr>
        <w:rStyle w:val="26"/>
      </w:rPr>
      <w:fldChar w:fldCharType="begin"/>
    </w:r>
    <w:r>
      <w:rPr>
        <w:rStyle w:val="26"/>
      </w:rPr>
      <w:instrText xml:space="preserve">PAGE  </w:instrText>
    </w:r>
    <w:r>
      <w:rPr>
        <w:rStyle w:val="26"/>
      </w:rPr>
      <w:fldChar w:fldCharType="end"/>
    </w:r>
  </w:p>
  <w:p w14:paraId="0535F3A2">
    <w:pPr>
      <w:pStyle w:val="12"/>
      <w:spacing w:before="120"/>
      <w:ind w:firstLine="360"/>
    </w:pPr>
  </w:p>
  <w:p w14:paraId="7D151C96">
    <w:pPr>
      <w:spacing w:before="120"/>
      <w:ind w:firstLine="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ABA87">
    <w:pPr>
      <w:pStyle w:val="12"/>
      <w:spacing w:before="1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ind w:firstLine="420"/>
      </w:pPr>
      <w:r>
        <w:separator/>
      </w:r>
    </w:p>
  </w:footnote>
  <w:footnote w:type="continuationSeparator" w:id="1">
    <w:p>
      <w:pPr>
        <w:spacing w:before="0" w:after="0"/>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D8F08">
    <w:pPr>
      <w:pStyle w:val="13"/>
      <w:rPr>
        <w:rFonts w:hint="eastAsia" w:ascii="宋体" w:hAnsi="宋体" w:eastAsia="宋体"/>
      </w:rPr>
    </w:pPr>
    <w:r>
      <w:rPr>
        <w:rFonts w:hint="eastAsia" w:ascii="宋体" w:hAnsi="宋体" w:eastAsia="宋体"/>
      </w:rPr>
      <w:t>国家药监局关于深化化妆品监管改革促进产业高质量发展的意见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8493E">
    <w:pPr>
      <w:pStyle w:val="13"/>
      <w:spacing w:before="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72149">
    <w:pPr>
      <w:pStyle w:val="13"/>
      <w:spacing w:before="1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cumentProtection w:enforcement="0"/>
  <w:defaultTabStop w:val="420"/>
  <w:drawingGridHorizontalSpacing w:val="120"/>
  <w:drawingGridVerticalSpacing w:val="423"/>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05E"/>
    <w:rsid w:val="00011E08"/>
    <w:rsid w:val="00014794"/>
    <w:rsid w:val="00023491"/>
    <w:rsid w:val="00055661"/>
    <w:rsid w:val="000838AC"/>
    <w:rsid w:val="000B4268"/>
    <w:rsid w:val="000C10B9"/>
    <w:rsid w:val="000E0518"/>
    <w:rsid w:val="0010142F"/>
    <w:rsid w:val="001156D2"/>
    <w:rsid w:val="00155379"/>
    <w:rsid w:val="0017262F"/>
    <w:rsid w:val="00182C03"/>
    <w:rsid w:val="00186C4B"/>
    <w:rsid w:val="00190F60"/>
    <w:rsid w:val="00191D9F"/>
    <w:rsid w:val="0019779C"/>
    <w:rsid w:val="001A42BB"/>
    <w:rsid w:val="001B24CE"/>
    <w:rsid w:val="001B2E08"/>
    <w:rsid w:val="001D0531"/>
    <w:rsid w:val="001D0DAF"/>
    <w:rsid w:val="001D686D"/>
    <w:rsid w:val="001D6F7C"/>
    <w:rsid w:val="00270DD6"/>
    <w:rsid w:val="002714BD"/>
    <w:rsid w:val="002A2902"/>
    <w:rsid w:val="002C0974"/>
    <w:rsid w:val="002C39FF"/>
    <w:rsid w:val="002D331B"/>
    <w:rsid w:val="002D5D85"/>
    <w:rsid w:val="002F167B"/>
    <w:rsid w:val="00315774"/>
    <w:rsid w:val="003309EA"/>
    <w:rsid w:val="003458E8"/>
    <w:rsid w:val="00357CE9"/>
    <w:rsid w:val="00365C3F"/>
    <w:rsid w:val="00374CB2"/>
    <w:rsid w:val="00376810"/>
    <w:rsid w:val="00383B57"/>
    <w:rsid w:val="003B262C"/>
    <w:rsid w:val="003B4437"/>
    <w:rsid w:val="003C10FA"/>
    <w:rsid w:val="003D3437"/>
    <w:rsid w:val="003D5198"/>
    <w:rsid w:val="003E5582"/>
    <w:rsid w:val="003F7DB5"/>
    <w:rsid w:val="004045E1"/>
    <w:rsid w:val="00405BE7"/>
    <w:rsid w:val="00406A7C"/>
    <w:rsid w:val="00413553"/>
    <w:rsid w:val="00421888"/>
    <w:rsid w:val="00446D77"/>
    <w:rsid w:val="00467D9B"/>
    <w:rsid w:val="00475DC8"/>
    <w:rsid w:val="004944E8"/>
    <w:rsid w:val="004B4872"/>
    <w:rsid w:val="004D31E1"/>
    <w:rsid w:val="004F13D2"/>
    <w:rsid w:val="0050214D"/>
    <w:rsid w:val="0050753C"/>
    <w:rsid w:val="0055454B"/>
    <w:rsid w:val="0058105E"/>
    <w:rsid w:val="00581CC2"/>
    <w:rsid w:val="005A545E"/>
    <w:rsid w:val="005D2A44"/>
    <w:rsid w:val="005D6387"/>
    <w:rsid w:val="005E1E7E"/>
    <w:rsid w:val="005E4537"/>
    <w:rsid w:val="005E6D11"/>
    <w:rsid w:val="005F302E"/>
    <w:rsid w:val="00647249"/>
    <w:rsid w:val="00661D6F"/>
    <w:rsid w:val="0067413F"/>
    <w:rsid w:val="00674271"/>
    <w:rsid w:val="00681022"/>
    <w:rsid w:val="00686367"/>
    <w:rsid w:val="006864EA"/>
    <w:rsid w:val="00687F70"/>
    <w:rsid w:val="0069459A"/>
    <w:rsid w:val="00695BBA"/>
    <w:rsid w:val="006B4B40"/>
    <w:rsid w:val="006C1E70"/>
    <w:rsid w:val="006C2F31"/>
    <w:rsid w:val="006C3857"/>
    <w:rsid w:val="006D629B"/>
    <w:rsid w:val="006E374D"/>
    <w:rsid w:val="00701E2A"/>
    <w:rsid w:val="0071172E"/>
    <w:rsid w:val="007134C7"/>
    <w:rsid w:val="007462C7"/>
    <w:rsid w:val="00762164"/>
    <w:rsid w:val="00766565"/>
    <w:rsid w:val="007729AE"/>
    <w:rsid w:val="007756F7"/>
    <w:rsid w:val="00790272"/>
    <w:rsid w:val="007902D8"/>
    <w:rsid w:val="007911E7"/>
    <w:rsid w:val="00791FE7"/>
    <w:rsid w:val="00794C21"/>
    <w:rsid w:val="00795EF7"/>
    <w:rsid w:val="007A21E7"/>
    <w:rsid w:val="007F7F4A"/>
    <w:rsid w:val="00805D1F"/>
    <w:rsid w:val="008157A1"/>
    <w:rsid w:val="008460F3"/>
    <w:rsid w:val="00846EED"/>
    <w:rsid w:val="008770F6"/>
    <w:rsid w:val="00883795"/>
    <w:rsid w:val="008929C2"/>
    <w:rsid w:val="00894A8F"/>
    <w:rsid w:val="008A0D66"/>
    <w:rsid w:val="008B30B1"/>
    <w:rsid w:val="008C79B1"/>
    <w:rsid w:val="008E1133"/>
    <w:rsid w:val="008E22F9"/>
    <w:rsid w:val="008F7C89"/>
    <w:rsid w:val="00911F3F"/>
    <w:rsid w:val="009121D8"/>
    <w:rsid w:val="009260CB"/>
    <w:rsid w:val="0092725B"/>
    <w:rsid w:val="00950CBB"/>
    <w:rsid w:val="00963F94"/>
    <w:rsid w:val="00966E87"/>
    <w:rsid w:val="00983AF9"/>
    <w:rsid w:val="00984A99"/>
    <w:rsid w:val="009902F4"/>
    <w:rsid w:val="009D126A"/>
    <w:rsid w:val="009D7F36"/>
    <w:rsid w:val="009E7109"/>
    <w:rsid w:val="009F0946"/>
    <w:rsid w:val="009F15D3"/>
    <w:rsid w:val="009F1EAF"/>
    <w:rsid w:val="00A04389"/>
    <w:rsid w:val="00A07EE7"/>
    <w:rsid w:val="00A23C07"/>
    <w:rsid w:val="00A5155E"/>
    <w:rsid w:val="00A6261D"/>
    <w:rsid w:val="00A67A2B"/>
    <w:rsid w:val="00A75184"/>
    <w:rsid w:val="00A7683F"/>
    <w:rsid w:val="00A82018"/>
    <w:rsid w:val="00A93A88"/>
    <w:rsid w:val="00AD29DF"/>
    <w:rsid w:val="00AF2439"/>
    <w:rsid w:val="00B22CD4"/>
    <w:rsid w:val="00B26EB6"/>
    <w:rsid w:val="00B33D8B"/>
    <w:rsid w:val="00B42D0D"/>
    <w:rsid w:val="00B45CD8"/>
    <w:rsid w:val="00B8279B"/>
    <w:rsid w:val="00B94875"/>
    <w:rsid w:val="00BA40E8"/>
    <w:rsid w:val="00BB260D"/>
    <w:rsid w:val="00BB56F9"/>
    <w:rsid w:val="00BE1F95"/>
    <w:rsid w:val="00BE2026"/>
    <w:rsid w:val="00BE618D"/>
    <w:rsid w:val="00C468EA"/>
    <w:rsid w:val="00CB0C3C"/>
    <w:rsid w:val="00CB7EA7"/>
    <w:rsid w:val="00CC410E"/>
    <w:rsid w:val="00CD77D2"/>
    <w:rsid w:val="00CF2EDD"/>
    <w:rsid w:val="00D11826"/>
    <w:rsid w:val="00D11FA0"/>
    <w:rsid w:val="00D21CC8"/>
    <w:rsid w:val="00D350CF"/>
    <w:rsid w:val="00D42329"/>
    <w:rsid w:val="00D429FF"/>
    <w:rsid w:val="00D707CE"/>
    <w:rsid w:val="00D83979"/>
    <w:rsid w:val="00D87B1D"/>
    <w:rsid w:val="00D9483C"/>
    <w:rsid w:val="00DB0A8E"/>
    <w:rsid w:val="00DB3F75"/>
    <w:rsid w:val="00DD4082"/>
    <w:rsid w:val="00DD6EBA"/>
    <w:rsid w:val="00DE17E6"/>
    <w:rsid w:val="00DF4DDE"/>
    <w:rsid w:val="00DF5DD3"/>
    <w:rsid w:val="00E07A1C"/>
    <w:rsid w:val="00E16E7C"/>
    <w:rsid w:val="00E20705"/>
    <w:rsid w:val="00E367EF"/>
    <w:rsid w:val="00E4508E"/>
    <w:rsid w:val="00E519E7"/>
    <w:rsid w:val="00E62A39"/>
    <w:rsid w:val="00E6789D"/>
    <w:rsid w:val="00E709D0"/>
    <w:rsid w:val="00E91848"/>
    <w:rsid w:val="00E9315A"/>
    <w:rsid w:val="00E93E4A"/>
    <w:rsid w:val="00EE2355"/>
    <w:rsid w:val="00F07C98"/>
    <w:rsid w:val="00F15993"/>
    <w:rsid w:val="00F42084"/>
    <w:rsid w:val="00F47B0B"/>
    <w:rsid w:val="00F50BFC"/>
    <w:rsid w:val="00F63D38"/>
    <w:rsid w:val="00F6559B"/>
    <w:rsid w:val="00F91D76"/>
    <w:rsid w:val="00FA04AF"/>
    <w:rsid w:val="00FA49DB"/>
    <w:rsid w:val="00FD2CD5"/>
    <w:rsid w:val="00FD7099"/>
    <w:rsid w:val="00FE1BFB"/>
    <w:rsid w:val="00FE5686"/>
    <w:rsid w:val="00FF68A3"/>
    <w:rsid w:val="12301AE7"/>
    <w:rsid w:val="35895362"/>
    <w:rsid w:val="3E965F71"/>
    <w:rsid w:val="4D4D7B1B"/>
    <w:rsid w:val="644D57EB"/>
    <w:rsid w:val="74E5744F"/>
    <w:rsid w:val="7CA11E8A"/>
    <w:rsid w:val="7D023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50" w:beforeLines="50"/>
      <w:ind w:firstLine="200" w:firstLineChars="200"/>
    </w:pPr>
    <w:rPr>
      <w:rFonts w:ascii="等线" w:hAnsi="等线" w:eastAsia="等线" w:cs="宋体"/>
      <w:kern w:val="0"/>
      <w:sz w:val="21"/>
      <w:szCs w:val="21"/>
      <w:lang w:val="en-US" w:eastAsia="zh-CN" w:bidi="ar-SA"/>
    </w:rPr>
  </w:style>
  <w:style w:type="paragraph" w:styleId="2">
    <w:name w:val="heading 1"/>
    <w:basedOn w:val="1"/>
    <w:link w:val="32"/>
    <w:qFormat/>
    <w:uiPriority w:val="9"/>
    <w:pPr>
      <w:spacing w:before="423" w:beforeLines="100" w:after="317" w:afterLines="75" w:line="400" w:lineRule="exact"/>
      <w:ind w:firstLine="0" w:firstLineChars="0"/>
      <w:jc w:val="center"/>
      <w:outlineLvl w:val="0"/>
    </w:pPr>
    <w:rPr>
      <w:rFonts w:eastAsia="宋体"/>
      <w:b/>
      <w:bCs/>
      <w:kern w:val="36"/>
      <w:sz w:val="24"/>
      <w:szCs w:val="24"/>
    </w:rPr>
  </w:style>
  <w:style w:type="paragraph" w:styleId="3">
    <w:name w:val="heading 2"/>
    <w:basedOn w:val="1"/>
    <w:next w:val="1"/>
    <w:link w:val="51"/>
    <w:unhideWhenUsed/>
    <w:qFormat/>
    <w:uiPriority w:val="9"/>
    <w:pPr>
      <w:keepNext/>
      <w:keepLines/>
      <w:spacing w:before="211" w:line="400" w:lineRule="exact"/>
      <w:ind w:firstLine="0" w:firstLineChars="0"/>
      <w:jc w:val="center"/>
      <w:outlineLvl w:val="1"/>
    </w:pPr>
    <w:rPr>
      <w:rFonts w:cstheme="majorBidi"/>
      <w:b/>
      <w:bCs/>
      <w:szCs w:val="32"/>
    </w:rPr>
  </w:style>
  <w:style w:type="paragraph" w:styleId="4">
    <w:name w:val="heading 3"/>
    <w:basedOn w:val="1"/>
    <w:next w:val="1"/>
    <w:link w:val="50"/>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9"/>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spacing w:before="0"/>
      <w:ind w:left="1260"/>
    </w:pPr>
    <w:rPr>
      <w:rFonts w:asciiTheme="minorHAnsi" w:eastAsiaTheme="minorHAnsi"/>
      <w:sz w:val="18"/>
      <w:szCs w:val="18"/>
    </w:rPr>
  </w:style>
  <w:style w:type="paragraph" w:styleId="7">
    <w:name w:val="annotation text"/>
    <w:basedOn w:val="1"/>
    <w:link w:val="47"/>
    <w:unhideWhenUsed/>
    <w:qFormat/>
    <w:uiPriority w:val="99"/>
  </w:style>
  <w:style w:type="paragraph" w:styleId="8">
    <w:name w:val="toc 5"/>
    <w:basedOn w:val="1"/>
    <w:next w:val="1"/>
    <w:autoRedefine/>
    <w:unhideWhenUsed/>
    <w:qFormat/>
    <w:uiPriority w:val="39"/>
    <w:pPr>
      <w:spacing w:before="0"/>
      <w:ind w:left="840"/>
    </w:pPr>
    <w:rPr>
      <w:rFonts w:asciiTheme="minorHAnsi" w:eastAsiaTheme="minorHAnsi"/>
      <w:sz w:val="18"/>
      <w:szCs w:val="18"/>
    </w:rPr>
  </w:style>
  <w:style w:type="paragraph" w:styleId="9">
    <w:name w:val="toc 3"/>
    <w:basedOn w:val="1"/>
    <w:next w:val="1"/>
    <w:autoRedefine/>
    <w:unhideWhenUsed/>
    <w:qFormat/>
    <w:uiPriority w:val="39"/>
    <w:pPr>
      <w:spacing w:before="0"/>
      <w:ind w:left="420"/>
    </w:pPr>
    <w:rPr>
      <w:rFonts w:asciiTheme="minorHAnsi" w:eastAsiaTheme="minorHAnsi"/>
      <w:i/>
      <w:iCs/>
      <w:sz w:val="20"/>
      <w:szCs w:val="20"/>
    </w:rPr>
  </w:style>
  <w:style w:type="paragraph" w:styleId="10">
    <w:name w:val="toc 8"/>
    <w:basedOn w:val="1"/>
    <w:next w:val="1"/>
    <w:autoRedefine/>
    <w:unhideWhenUsed/>
    <w:qFormat/>
    <w:uiPriority w:val="39"/>
    <w:pPr>
      <w:spacing w:before="0"/>
      <w:ind w:left="1470"/>
    </w:pPr>
    <w:rPr>
      <w:rFonts w:asciiTheme="minorHAnsi" w:eastAsiaTheme="minorHAnsi"/>
      <w:sz w:val="18"/>
      <w:szCs w:val="18"/>
    </w:rPr>
  </w:style>
  <w:style w:type="paragraph" w:styleId="11">
    <w:name w:val="Balloon Text"/>
    <w:basedOn w:val="1"/>
    <w:link w:val="49"/>
    <w:semiHidden/>
    <w:unhideWhenUsed/>
    <w:qFormat/>
    <w:uiPriority w:val="99"/>
    <w:rPr>
      <w:rFonts w:ascii="Times New Roman" w:hAnsi="Times New Roman" w:cs="Times New Roman"/>
      <w:sz w:val="18"/>
      <w:szCs w:val="18"/>
    </w:rPr>
  </w:style>
  <w:style w:type="paragraph" w:styleId="12">
    <w:name w:val="footer"/>
    <w:basedOn w:val="1"/>
    <w:link w:val="31"/>
    <w:unhideWhenUsed/>
    <w:qFormat/>
    <w:uiPriority w:val="99"/>
    <w:pPr>
      <w:tabs>
        <w:tab w:val="center" w:pos="4153"/>
        <w:tab w:val="right" w:pos="8306"/>
      </w:tabs>
      <w:snapToGrid w:val="0"/>
    </w:pPr>
    <w:rPr>
      <w:sz w:val="18"/>
      <w:szCs w:val="18"/>
    </w:rPr>
  </w:style>
  <w:style w:type="paragraph" w:styleId="13">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2"/>
    <w:next w:val="2"/>
    <w:autoRedefine/>
    <w:unhideWhenUsed/>
    <w:qFormat/>
    <w:uiPriority w:val="39"/>
    <w:pPr>
      <w:tabs>
        <w:tab w:val="right" w:pos="9730"/>
      </w:tabs>
      <w:spacing w:before="0" w:beforeLines="0" w:after="0" w:afterLines="0" w:line="240" w:lineRule="auto"/>
      <w:jc w:val="left"/>
      <w:outlineLvl w:val="9"/>
    </w:pPr>
    <w:rPr>
      <w:rFonts w:asciiTheme="minorHAnsi"/>
      <w:b w:val="0"/>
      <w:caps/>
      <w:kern w:val="0"/>
      <w:sz w:val="21"/>
      <w:szCs w:val="20"/>
    </w:rPr>
  </w:style>
  <w:style w:type="paragraph" w:styleId="15">
    <w:name w:val="toc 4"/>
    <w:basedOn w:val="1"/>
    <w:next w:val="1"/>
    <w:autoRedefine/>
    <w:unhideWhenUsed/>
    <w:qFormat/>
    <w:uiPriority w:val="39"/>
    <w:pPr>
      <w:spacing w:before="0"/>
      <w:ind w:left="630"/>
    </w:pPr>
    <w:rPr>
      <w:rFonts w:asciiTheme="minorHAnsi" w:eastAsiaTheme="minorHAnsi"/>
      <w:sz w:val="18"/>
      <w:szCs w:val="18"/>
    </w:rPr>
  </w:style>
  <w:style w:type="paragraph" w:styleId="16">
    <w:name w:val="Subtitle"/>
    <w:basedOn w:val="1"/>
    <w:next w:val="1"/>
    <w:link w:val="56"/>
    <w:qFormat/>
    <w:uiPriority w:val="11"/>
    <w:pPr>
      <w:spacing w:before="60" w:after="60" w:line="312" w:lineRule="auto"/>
      <w:jc w:val="center"/>
      <w:outlineLvl w:val="1"/>
    </w:pPr>
    <w:rPr>
      <w:rFonts w:asciiTheme="minorHAnsi" w:hAnsiTheme="minorHAnsi" w:cstheme="minorBidi"/>
      <w:bCs/>
      <w:kern w:val="28"/>
      <w:szCs w:val="32"/>
    </w:rPr>
  </w:style>
  <w:style w:type="paragraph" w:styleId="17">
    <w:name w:val="toc 6"/>
    <w:basedOn w:val="1"/>
    <w:next w:val="1"/>
    <w:autoRedefine/>
    <w:unhideWhenUsed/>
    <w:qFormat/>
    <w:uiPriority w:val="39"/>
    <w:pPr>
      <w:spacing w:before="0"/>
      <w:ind w:left="1050"/>
    </w:pPr>
    <w:rPr>
      <w:rFonts w:asciiTheme="minorHAnsi" w:eastAsiaTheme="minorHAnsi"/>
      <w:sz w:val="18"/>
      <w:szCs w:val="18"/>
    </w:rPr>
  </w:style>
  <w:style w:type="paragraph" w:styleId="18">
    <w:name w:val="toc 2"/>
    <w:basedOn w:val="1"/>
    <w:next w:val="1"/>
    <w:autoRedefine/>
    <w:unhideWhenUsed/>
    <w:qFormat/>
    <w:uiPriority w:val="39"/>
    <w:pPr>
      <w:spacing w:before="0" w:beforeLines="0"/>
    </w:pPr>
    <w:rPr>
      <w:rFonts w:asciiTheme="minorHAnsi" w:eastAsiaTheme="minorHAnsi"/>
      <w:smallCaps/>
      <w:szCs w:val="20"/>
    </w:rPr>
  </w:style>
  <w:style w:type="paragraph" w:styleId="19">
    <w:name w:val="toc 9"/>
    <w:basedOn w:val="1"/>
    <w:next w:val="1"/>
    <w:autoRedefine/>
    <w:unhideWhenUsed/>
    <w:qFormat/>
    <w:uiPriority w:val="39"/>
    <w:pPr>
      <w:spacing w:before="0"/>
      <w:ind w:left="1680"/>
    </w:pPr>
    <w:rPr>
      <w:rFonts w:asciiTheme="minorHAnsi" w:eastAsiaTheme="minorHAnsi"/>
      <w:sz w:val="18"/>
      <w:szCs w:val="18"/>
    </w:rPr>
  </w:style>
  <w:style w:type="paragraph" w:styleId="20">
    <w:name w:val="Normal (Web)"/>
    <w:basedOn w:val="1"/>
    <w:unhideWhenUsed/>
    <w:qFormat/>
    <w:uiPriority w:val="99"/>
    <w:pPr>
      <w:spacing w:before="100" w:beforeAutospacing="1" w:after="100" w:afterAutospacing="1"/>
    </w:pPr>
  </w:style>
  <w:style w:type="paragraph" w:styleId="21">
    <w:name w:val="Title"/>
    <w:basedOn w:val="1"/>
    <w:next w:val="1"/>
    <w:link w:val="55"/>
    <w:qFormat/>
    <w:uiPriority w:val="10"/>
    <w:pPr>
      <w:spacing w:before="240" w:after="60"/>
      <w:jc w:val="center"/>
      <w:outlineLvl w:val="0"/>
    </w:pPr>
    <w:rPr>
      <w:rFonts w:eastAsia="Songti SC" w:asciiTheme="majorHAnsi" w:hAnsiTheme="majorHAnsi" w:cstheme="majorBidi"/>
      <w:b/>
      <w:bCs/>
      <w:sz w:val="32"/>
      <w:szCs w:val="32"/>
    </w:rPr>
  </w:style>
  <w:style w:type="paragraph" w:styleId="22">
    <w:name w:val="annotation subject"/>
    <w:basedOn w:val="7"/>
    <w:next w:val="7"/>
    <w:link w:val="48"/>
    <w:semiHidden/>
    <w:unhideWhenUsed/>
    <w:qFormat/>
    <w:uiPriority w:val="99"/>
    <w:rPr>
      <w:b/>
      <w:bCs/>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semiHidden/>
    <w:unhideWhenUsed/>
    <w:qFormat/>
    <w:uiPriority w:val="99"/>
  </w:style>
  <w:style w:type="character" w:styleId="27">
    <w:name w:val="FollowedHyperlink"/>
    <w:basedOn w:val="25"/>
    <w:semiHidden/>
    <w:unhideWhenUsed/>
    <w:qFormat/>
    <w:uiPriority w:val="99"/>
    <w:rPr>
      <w:color w:val="954F72" w:themeColor="followedHyperlink"/>
      <w:u w:val="single"/>
      <w14:textFill>
        <w14:solidFill>
          <w14:schemeClr w14:val="folHlink"/>
        </w14:solidFill>
      </w14:textFill>
    </w:rPr>
  </w:style>
  <w:style w:type="character" w:styleId="28">
    <w:name w:val="Hyperlink"/>
    <w:basedOn w:val="25"/>
    <w:unhideWhenUsed/>
    <w:qFormat/>
    <w:uiPriority w:val="99"/>
    <w:rPr>
      <w:color w:val="0000FF"/>
      <w:u w:val="none"/>
    </w:rPr>
  </w:style>
  <w:style w:type="character" w:styleId="29">
    <w:name w:val="annotation reference"/>
    <w:basedOn w:val="25"/>
    <w:semiHidden/>
    <w:unhideWhenUsed/>
    <w:qFormat/>
    <w:uiPriority w:val="99"/>
    <w:rPr>
      <w:sz w:val="21"/>
      <w:szCs w:val="21"/>
    </w:rPr>
  </w:style>
  <w:style w:type="character" w:customStyle="1" w:styleId="30">
    <w:name w:val="页眉 字符"/>
    <w:basedOn w:val="25"/>
    <w:link w:val="13"/>
    <w:qFormat/>
    <w:uiPriority w:val="99"/>
    <w:rPr>
      <w:sz w:val="18"/>
      <w:szCs w:val="18"/>
    </w:rPr>
  </w:style>
  <w:style w:type="character" w:customStyle="1" w:styleId="31">
    <w:name w:val="页脚 字符"/>
    <w:basedOn w:val="25"/>
    <w:link w:val="12"/>
    <w:qFormat/>
    <w:uiPriority w:val="99"/>
    <w:rPr>
      <w:sz w:val="18"/>
      <w:szCs w:val="18"/>
    </w:rPr>
  </w:style>
  <w:style w:type="character" w:customStyle="1" w:styleId="32">
    <w:name w:val="标题 1 字符"/>
    <w:basedOn w:val="25"/>
    <w:link w:val="2"/>
    <w:qFormat/>
    <w:uiPriority w:val="9"/>
    <w:rPr>
      <w:rFonts w:ascii="等线" w:hAnsi="等线" w:eastAsia="宋体" w:cs="宋体"/>
      <w:b/>
      <w:bCs/>
      <w:kern w:val="36"/>
    </w:rPr>
  </w:style>
  <w:style w:type="paragraph" w:customStyle="1" w:styleId="33">
    <w:name w:val="doc-a"/>
    <w:basedOn w:val="1"/>
    <w:qFormat/>
    <w:uiPriority w:val="0"/>
    <w:pPr>
      <w:spacing w:before="100" w:beforeAutospacing="1" w:after="100" w:afterAutospacing="1"/>
      <w:ind w:firstLine="480"/>
    </w:pPr>
    <w:rPr>
      <w:rFonts w:ascii="微软雅黑" w:hAnsi="微软雅黑" w:eastAsia="微软雅黑"/>
    </w:rPr>
  </w:style>
  <w:style w:type="paragraph" w:customStyle="1" w:styleId="34">
    <w:name w:val="cnsubtitle"/>
    <w:basedOn w:val="1"/>
    <w:semiHidden/>
    <w:qFormat/>
    <w:uiPriority w:val="99"/>
    <w:pPr>
      <w:spacing w:before="315" w:after="315" w:line="300" w:lineRule="exact"/>
    </w:pPr>
    <w:rPr>
      <w:rFonts w:ascii="微软雅黑" w:hAnsi="微软雅黑" w:eastAsia="微软雅黑"/>
    </w:rPr>
  </w:style>
  <w:style w:type="paragraph" w:customStyle="1" w:styleId="35">
    <w:name w:val="cntitle"/>
    <w:basedOn w:val="1"/>
    <w:semiHidden/>
    <w:qFormat/>
    <w:uiPriority w:val="99"/>
    <w:pPr>
      <w:spacing w:before="150" w:after="150"/>
      <w:ind w:left="150" w:right="150"/>
      <w:jc w:val="center"/>
    </w:pPr>
    <w:rPr>
      <w:rFonts w:ascii="微软雅黑" w:hAnsi="微软雅黑" w:eastAsia="微软雅黑"/>
      <w:b/>
      <w:bCs/>
      <w:vanish/>
    </w:rPr>
  </w:style>
  <w:style w:type="paragraph" w:customStyle="1" w:styleId="36">
    <w:name w:val="promulgatetitle"/>
    <w:basedOn w:val="1"/>
    <w:semiHidden/>
    <w:qFormat/>
    <w:uiPriority w:val="99"/>
    <w:pPr>
      <w:spacing w:before="100" w:beforeAutospacing="1" w:after="100" w:afterAutospacing="1"/>
      <w:jc w:val="center"/>
    </w:pPr>
    <w:rPr>
      <w:rFonts w:ascii="微软雅黑" w:hAnsi="微软雅黑" w:eastAsia="微软雅黑"/>
      <w:b/>
      <w:bCs/>
      <w:vanish/>
    </w:rPr>
  </w:style>
  <w:style w:type="paragraph" w:customStyle="1" w:styleId="37">
    <w:name w:val="promulgatesubtitle"/>
    <w:basedOn w:val="1"/>
    <w:semiHidden/>
    <w:qFormat/>
    <w:uiPriority w:val="99"/>
    <w:pPr>
      <w:spacing w:before="150" w:after="150"/>
      <w:ind w:left="150" w:right="150"/>
      <w:jc w:val="center"/>
    </w:pPr>
    <w:rPr>
      <w:rFonts w:ascii="微软雅黑" w:hAnsi="微软雅黑" w:eastAsia="微软雅黑"/>
      <w:sz w:val="23"/>
      <w:szCs w:val="23"/>
    </w:rPr>
  </w:style>
  <w:style w:type="paragraph" w:customStyle="1" w:styleId="38">
    <w:name w:val="promulgatedate"/>
    <w:basedOn w:val="1"/>
    <w:qFormat/>
    <w:uiPriority w:val="0"/>
    <w:pPr>
      <w:jc w:val="right"/>
    </w:pPr>
  </w:style>
  <w:style w:type="paragraph" w:customStyle="1" w:styleId="39">
    <w:name w:val="promulgatesignatory"/>
    <w:basedOn w:val="1"/>
    <w:qFormat/>
    <w:uiPriority w:val="0"/>
    <w:pPr>
      <w:jc w:val="right"/>
    </w:pPr>
  </w:style>
  <w:style w:type="paragraph" w:customStyle="1" w:styleId="40">
    <w:name w:val="标题1"/>
    <w:basedOn w:val="1"/>
    <w:semiHidden/>
    <w:qFormat/>
    <w:uiPriority w:val="99"/>
    <w:pPr>
      <w:spacing w:before="100" w:beforeAutospacing="1" w:after="100" w:afterAutospacing="1"/>
      <w:ind w:firstLine="480"/>
    </w:pPr>
    <w:rPr>
      <w:rFonts w:ascii="微软雅黑" w:hAnsi="微软雅黑" w:eastAsia="微软雅黑"/>
    </w:rPr>
  </w:style>
  <w:style w:type="paragraph" w:customStyle="1" w:styleId="41">
    <w:name w:val="catalog-a"/>
    <w:basedOn w:val="1"/>
    <w:semiHidden/>
    <w:qFormat/>
    <w:uiPriority w:val="99"/>
    <w:pPr>
      <w:spacing w:before="100" w:beforeAutospacing="1" w:after="100" w:afterAutospacing="1"/>
    </w:pPr>
  </w:style>
  <w:style w:type="character" w:customStyle="1" w:styleId="42">
    <w:name w:val="chaptertitle"/>
    <w:basedOn w:val="25"/>
    <w:qFormat/>
    <w:uiPriority w:val="0"/>
    <w:rPr>
      <w:rFonts w:hint="eastAsia" w:ascii="微软雅黑" w:hAnsi="微软雅黑" w:eastAsia="微软雅黑"/>
      <w:b/>
      <w:bCs/>
      <w:sz w:val="21"/>
      <w:szCs w:val="21"/>
    </w:rPr>
  </w:style>
  <w:style w:type="character" w:customStyle="1" w:styleId="43">
    <w:name w:val="metaname1"/>
    <w:basedOn w:val="25"/>
    <w:qFormat/>
    <w:uiPriority w:val="0"/>
    <w:rPr>
      <w:rFonts w:hint="eastAsia" w:ascii="微软雅黑" w:hAnsi="微软雅黑" w:eastAsia="微软雅黑"/>
      <w:b/>
      <w:bCs/>
      <w:sz w:val="21"/>
      <w:szCs w:val="21"/>
    </w:rPr>
  </w:style>
  <w:style w:type="character" w:customStyle="1" w:styleId="44">
    <w:name w:val="sect2title1"/>
    <w:basedOn w:val="25"/>
    <w:qFormat/>
    <w:uiPriority w:val="0"/>
    <w:rPr>
      <w:rFonts w:hint="eastAsia" w:ascii="微软雅黑" w:hAnsi="微软雅黑" w:eastAsia="微软雅黑"/>
      <w:b/>
      <w:bCs/>
      <w:sz w:val="21"/>
      <w:szCs w:val="21"/>
    </w:rPr>
  </w:style>
  <w:style w:type="character" w:customStyle="1" w:styleId="45">
    <w:name w:val="title1"/>
    <w:basedOn w:val="25"/>
    <w:qFormat/>
    <w:uiPriority w:val="0"/>
    <w:rPr>
      <w:rFonts w:hint="eastAsia" w:ascii="微软雅黑" w:hAnsi="微软雅黑" w:eastAsia="微软雅黑"/>
      <w:sz w:val="21"/>
      <w:szCs w:val="21"/>
    </w:rPr>
  </w:style>
  <w:style w:type="character" w:customStyle="1" w:styleId="46">
    <w:name w:val="sect1title1"/>
    <w:basedOn w:val="25"/>
    <w:qFormat/>
    <w:uiPriority w:val="0"/>
    <w:rPr>
      <w:rFonts w:hint="eastAsia" w:ascii="微软雅黑" w:hAnsi="微软雅黑" w:eastAsia="微软雅黑"/>
      <w:b/>
      <w:bCs/>
      <w:sz w:val="21"/>
      <w:szCs w:val="21"/>
    </w:rPr>
  </w:style>
  <w:style w:type="character" w:customStyle="1" w:styleId="47">
    <w:name w:val="批注文字 字符"/>
    <w:basedOn w:val="25"/>
    <w:link w:val="7"/>
    <w:qFormat/>
    <w:uiPriority w:val="99"/>
    <w:rPr>
      <w:rFonts w:ascii="宋体" w:hAnsi="宋体" w:eastAsia="宋体" w:cs="宋体"/>
      <w:kern w:val="0"/>
    </w:rPr>
  </w:style>
  <w:style w:type="character" w:customStyle="1" w:styleId="48">
    <w:name w:val="批注主题 字符"/>
    <w:basedOn w:val="47"/>
    <w:link w:val="22"/>
    <w:semiHidden/>
    <w:qFormat/>
    <w:uiPriority w:val="99"/>
    <w:rPr>
      <w:rFonts w:ascii="宋体" w:hAnsi="宋体" w:eastAsia="宋体" w:cs="宋体"/>
      <w:b/>
      <w:bCs/>
      <w:kern w:val="0"/>
    </w:rPr>
  </w:style>
  <w:style w:type="character" w:customStyle="1" w:styleId="49">
    <w:name w:val="批注框文本 字符"/>
    <w:basedOn w:val="25"/>
    <w:link w:val="11"/>
    <w:semiHidden/>
    <w:qFormat/>
    <w:uiPriority w:val="99"/>
    <w:rPr>
      <w:rFonts w:ascii="Times New Roman" w:hAnsi="Times New Roman" w:eastAsia="宋体" w:cs="Times New Roman"/>
      <w:kern w:val="0"/>
      <w:sz w:val="18"/>
      <w:szCs w:val="18"/>
    </w:rPr>
  </w:style>
  <w:style w:type="character" w:customStyle="1" w:styleId="50">
    <w:name w:val="标题 3 字符"/>
    <w:basedOn w:val="25"/>
    <w:link w:val="4"/>
    <w:qFormat/>
    <w:uiPriority w:val="9"/>
    <w:rPr>
      <w:rFonts w:ascii="等线" w:hAnsi="等线" w:eastAsia="等线" w:cs="宋体"/>
      <w:b/>
      <w:bCs/>
      <w:kern w:val="0"/>
      <w:szCs w:val="32"/>
    </w:rPr>
  </w:style>
  <w:style w:type="character" w:customStyle="1" w:styleId="51">
    <w:name w:val="标题 2 字符"/>
    <w:basedOn w:val="25"/>
    <w:link w:val="3"/>
    <w:qFormat/>
    <w:uiPriority w:val="9"/>
    <w:rPr>
      <w:rFonts w:ascii="等线" w:hAnsi="等线" w:eastAsia="等线" w:cstheme="majorBidi"/>
      <w:b/>
      <w:bCs/>
      <w:kern w:val="0"/>
      <w:sz w:val="21"/>
      <w:szCs w:val="32"/>
    </w:rPr>
  </w:style>
  <w:style w:type="paragraph" w:customStyle="1" w:styleId="52">
    <w:name w:val="TOC Heading"/>
    <w:basedOn w:val="2"/>
    <w:next w:val="1"/>
    <w:unhideWhenUsed/>
    <w:qFormat/>
    <w:uiPriority w:val="39"/>
    <w:pPr>
      <w:keepNext/>
      <w:keepLines/>
      <w:spacing w:before="480" w:after="0" w:line="276" w:lineRule="auto"/>
      <w:outlineLvl w:val="9"/>
    </w:pPr>
    <w:rPr>
      <w:rFonts w:asciiTheme="majorHAnsi" w:hAnsiTheme="majorHAnsi" w:eastAsiaTheme="majorEastAsia" w:cstheme="majorBidi"/>
      <w:color w:val="2F5597" w:themeColor="accent1" w:themeShade="BF"/>
      <w:kern w:val="0"/>
      <w:szCs w:val="28"/>
    </w:rPr>
  </w:style>
  <w:style w:type="table" w:customStyle="1" w:styleId="53">
    <w:name w:val="Grid Table Light"/>
    <w:basedOn w:val="23"/>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54">
    <w:name w:val="Revision"/>
    <w:hidden/>
    <w:semiHidden/>
    <w:qFormat/>
    <w:uiPriority w:val="99"/>
    <w:rPr>
      <w:rFonts w:ascii="宋体" w:hAnsi="宋体" w:eastAsia="宋体" w:cs="宋体"/>
      <w:kern w:val="0"/>
      <w:sz w:val="24"/>
      <w:szCs w:val="24"/>
      <w:lang w:val="en-US" w:eastAsia="zh-CN" w:bidi="ar-SA"/>
    </w:rPr>
  </w:style>
  <w:style w:type="character" w:customStyle="1" w:styleId="55">
    <w:name w:val="标题 字符"/>
    <w:basedOn w:val="25"/>
    <w:link w:val="21"/>
    <w:qFormat/>
    <w:uiPriority w:val="10"/>
    <w:rPr>
      <w:rFonts w:eastAsia="Songti SC" w:asciiTheme="majorHAnsi" w:hAnsiTheme="majorHAnsi" w:cstheme="majorBidi"/>
      <w:b/>
      <w:bCs/>
      <w:kern w:val="0"/>
      <w:sz w:val="32"/>
      <w:szCs w:val="32"/>
    </w:rPr>
  </w:style>
  <w:style w:type="character" w:customStyle="1" w:styleId="56">
    <w:name w:val="副标题 字符"/>
    <w:basedOn w:val="25"/>
    <w:link w:val="16"/>
    <w:qFormat/>
    <w:uiPriority w:val="11"/>
    <w:rPr>
      <w:rFonts w:eastAsia="等线"/>
      <w:bCs/>
      <w:kern w:val="28"/>
      <w:sz w:val="21"/>
      <w:szCs w:val="32"/>
    </w:rPr>
  </w:style>
  <w:style w:type="paragraph" w:styleId="57">
    <w:name w:val="Quote"/>
    <w:basedOn w:val="1"/>
    <w:next w:val="1"/>
    <w:link w:val="58"/>
    <w:qFormat/>
    <w:uiPriority w:val="29"/>
    <w:pPr>
      <w:spacing w:before="25" w:beforeLines="25" w:line="240" w:lineRule="exact"/>
    </w:pPr>
    <w:rPr>
      <w:iCs/>
      <w:color w:val="404040" w:themeColor="text1" w:themeTint="BF"/>
      <w14:textFill>
        <w14:solidFill>
          <w14:schemeClr w14:val="tx1">
            <w14:lumMod w14:val="75000"/>
            <w14:lumOff w14:val="25000"/>
          </w14:schemeClr>
        </w14:solidFill>
      </w14:textFill>
    </w:rPr>
  </w:style>
  <w:style w:type="character" w:customStyle="1" w:styleId="58">
    <w:name w:val="引用 字符"/>
    <w:basedOn w:val="25"/>
    <w:link w:val="57"/>
    <w:qFormat/>
    <w:uiPriority w:val="29"/>
    <w:rPr>
      <w:rFonts w:ascii="等线" w:hAnsi="等线" w:eastAsia="等线" w:cs="宋体"/>
      <w:iCs/>
      <w:color w:val="404040" w:themeColor="text1" w:themeTint="BF"/>
      <w:kern w:val="0"/>
      <w:sz w:val="21"/>
      <w:szCs w:val="21"/>
      <w14:textFill>
        <w14:solidFill>
          <w14:schemeClr w14:val="tx1">
            <w14:lumMod w14:val="75000"/>
            <w14:lumOff w14:val="25000"/>
          </w14:schemeClr>
        </w14:solidFill>
      </w14:textFill>
    </w:rPr>
  </w:style>
  <w:style w:type="character" w:customStyle="1" w:styleId="59">
    <w:name w:val="标题 4 字符"/>
    <w:basedOn w:val="25"/>
    <w:link w:val="5"/>
    <w:semiHidden/>
    <w:qFormat/>
    <w:uiPriority w:val="9"/>
    <w:rPr>
      <w:rFonts w:asciiTheme="majorHAnsi" w:hAnsiTheme="majorHAnsi" w:eastAsiaTheme="majorEastAsia" w:cstheme="majorBidi"/>
      <w:b/>
      <w:b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DCA6C4-851D-5947-B0FB-2EBCDA806F14}">
  <ds:schemaRefs/>
</ds:datastoreItem>
</file>

<file path=docProps/app.xml><?xml version="1.0" encoding="utf-8"?>
<Properties xmlns="http://schemas.openxmlformats.org/officeDocument/2006/extended-properties" xmlns:vt="http://schemas.openxmlformats.org/officeDocument/2006/docPropsVTypes">
  <Template>Normal.dotm</Template>
  <Pages>4</Pages>
  <Words>921</Words>
  <Characters>946</Characters>
  <Lines>5</Lines>
  <Paragraphs>1</Paragraphs>
  <TotalTime>517</TotalTime>
  <ScaleCrop>false</ScaleCrop>
  <LinksUpToDate>false</LinksUpToDate>
  <CharactersWithSpaces>988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2017-10-10T03:02:00Z</dcterms:created>
  <dc:creator>王华营</dc:creator>
  <cp:lastModifiedBy>王华营</cp:lastModifiedBy>
  <cp:lastPrinted>2018-09-08T01:56:00Z</cp:lastPrinted>
  <dcterms:modified xsi:type="dcterms:W3CDTF">2025-11-28T07:09:34Z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eyJoZGlkIjoiOThjYzZhMjliZTBlMTZjZGJlMTQyYTUzZDU1OGJkNzIiLCJ1c2VySWQiOiI5NzAwOTQ4OTQifQ==</vt:lpwstr>
  </property>
  <property fmtid="{D5CDD505-2E9C-101B-9397-08002B2CF9AE}" pid="3" name="KSOProductBuildVer">
    <vt:lpwstr>2052-12.1.0.23542</vt:lpwstr>
  </property>
  <property fmtid="{D5CDD505-2E9C-101B-9397-08002B2CF9AE}" pid="4" name="ICV">
    <vt:lpwstr>8C091576C4754F498311A979979FEBD9_13</vt:lpwstr>
  </property>
</Properties>
</file>