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EA344">
      <w:pPr>
        <w:spacing w:before="211" w:beforeLines="50" w:after="423" w:afterLines="100"/>
        <w:ind w:firstLine="0" w:firstLineChars="0"/>
        <w:jc w:val="center"/>
        <w:rPr>
          <w:rFonts w:ascii="宋体" w:hAnsi="宋体" w:eastAsia="宋体"/>
          <w:b/>
          <w:sz w:val="32"/>
          <w:szCs w:val="32"/>
        </w:rPr>
      </w:pPr>
      <w:r>
        <w:fldChar w:fldCharType="begin"/>
      </w:r>
      <w:r>
        <w:instrText xml:space="preserve"> HYPERLINK "https://alphalawyer.cn/ilawregu-search/api/v1/lawregu/redict/d8bde5bbd558f15f8c932f1b9e2746ba" </w:instrText>
      </w:r>
      <w:r>
        <w:fldChar w:fldCharType="separate"/>
      </w:r>
      <w:r>
        <w:rPr>
          <w:rFonts w:hint="eastAsia" w:ascii="宋体" w:hAnsi="宋体" w:eastAsia="宋体"/>
          <w:b/>
          <w:sz w:val="32"/>
          <w:szCs w:val="32"/>
        </w:rPr>
        <w:t>广东省药品监督管理局关于发布《粤港澳大湾区内地临床急需进口港澳药械流通管理系统数据采集接口对接指南（2025年修订版）》和《粤港澳大湾区内地临床急需进口港澳药械流通管理系统数据采集接口规范（2025年修订版）》的通告</w:t>
      </w:r>
      <w:r>
        <w:rPr>
          <w:rFonts w:hint="eastAsia" w:ascii="宋体" w:hAnsi="宋体" w:eastAsia="宋体"/>
          <w:b/>
          <w:sz w:val="32"/>
          <w:szCs w:val="32"/>
        </w:rPr>
        <w:fldChar w:fldCharType="end"/>
      </w:r>
    </w:p>
    <w:p w14:paraId="1CE78CBD">
      <w:pPr>
        <w:spacing w:before="105"/>
        <w:ind w:firstLine="420"/>
      </w:pPr>
      <w:r>
        <w:rPr>
          <w:rStyle w:val="44"/>
          <w:rFonts w:ascii="宋体" w:hAnsi="宋体" w:eastAsia="宋体"/>
        </w:rPr>
        <w:t xml:space="preserve">时效性：  </w:t>
      </w:r>
      <w:r>
        <w:rPr>
          <w:rStyle w:val="44"/>
          <w:b w:val="0"/>
        </w:rPr>
        <w:t xml:space="preserve">  </w:t>
      </w:r>
      <w:r>
        <w:rPr>
          <w:rFonts w:ascii="宋体" w:hAnsi="宋体" w:eastAsia="宋体"/>
        </w:rPr>
        <w:t>现行有效</w:t>
      </w:r>
    </w:p>
    <w:p w14:paraId="6690D538">
      <w:pPr>
        <w:spacing w:before="105"/>
        <w:ind w:firstLine="420"/>
        <w:rPr>
          <w:rFonts w:hint="eastAsia" w:ascii="宋体" w:hAnsi="宋体" w:eastAsia="宋体"/>
        </w:rPr>
      </w:pPr>
      <w:r>
        <w:rPr>
          <w:rStyle w:val="44"/>
          <w:rFonts w:ascii="宋体" w:hAnsi="宋体" w:eastAsia="宋体"/>
        </w:rPr>
        <w:t>发文机关：</w:t>
      </w:r>
      <w:r>
        <w:rPr>
          <w:rStyle w:val="44"/>
          <w:b w:val="0"/>
        </w:rPr>
        <w:t xml:space="preserve">  </w:t>
      </w:r>
      <w:r>
        <w:rPr>
          <w:rFonts w:hint="eastAsia" w:ascii="宋体" w:hAnsi="宋体" w:eastAsia="宋体"/>
        </w:rPr>
        <w:t xml:space="preserve">广东省药品监督管理局 </w:t>
      </w:r>
    </w:p>
    <w:p w14:paraId="7045121C">
      <w:pPr>
        <w:spacing w:before="105"/>
        <w:ind w:firstLine="420"/>
      </w:pPr>
      <w:r>
        <w:rPr>
          <w:rStyle w:val="44"/>
          <w:rFonts w:ascii="宋体" w:hAnsi="宋体" w:eastAsia="宋体"/>
        </w:rPr>
        <w:t xml:space="preserve">文号：    </w:t>
      </w:r>
      <w:r>
        <w:rPr>
          <w:rStyle w:val="44"/>
          <w:b w:val="0"/>
        </w:rPr>
        <w:t xml:space="preserve"> </w:t>
      </w:r>
      <w:r>
        <w:rPr>
          <w:rStyle w:val="44"/>
          <w:rFonts w:hint="eastAsia" w:eastAsia="微软雅黑"/>
          <w:b w:val="0"/>
          <w:lang w:val="en-US" w:eastAsia="zh-CN"/>
        </w:rPr>
        <w:t xml:space="preserve"> </w:t>
      </w:r>
      <w:r>
        <w:rPr>
          <w:rFonts w:hint="eastAsia" w:ascii="宋体" w:hAnsi="宋体" w:eastAsia="宋体"/>
        </w:rPr>
        <w:t>广东省药品监督管理局通告2025年第83号</w:t>
      </w:r>
    </w:p>
    <w:p w14:paraId="3592BE0F">
      <w:pPr>
        <w:spacing w:before="105"/>
        <w:ind w:firstLine="420"/>
        <w:rPr>
          <w:rStyle w:val="44"/>
          <w:rFonts w:hint="default" w:ascii="宋体" w:hAnsi="宋体" w:eastAsia="宋体"/>
          <w:lang w:val="en-US" w:eastAsia="zh-CN"/>
        </w:rPr>
      </w:pPr>
      <w:r>
        <w:rPr>
          <w:rStyle w:val="44"/>
          <w:rFonts w:hint="eastAsia" w:ascii="宋体" w:hAnsi="宋体" w:eastAsia="宋体"/>
          <w:lang w:val="en-US" w:eastAsia="zh-CN"/>
        </w:rPr>
        <w:t xml:space="preserve">文件属性：  </w:t>
      </w:r>
      <w:r>
        <w:rPr>
          <w:rFonts w:hint="eastAsia" w:ascii="宋体" w:hAnsi="宋体" w:eastAsia="宋体"/>
          <w:lang w:val="en-US" w:eastAsia="zh-CN"/>
        </w:rPr>
        <w:t>地方规范性文件</w:t>
      </w:r>
    </w:p>
    <w:p w14:paraId="35C1DB19">
      <w:pPr>
        <w:spacing w:before="105"/>
        <w:ind w:firstLine="420"/>
      </w:pPr>
      <w:r>
        <w:rPr>
          <w:rStyle w:val="44"/>
          <w:rFonts w:ascii="宋体" w:hAnsi="宋体" w:eastAsia="宋体"/>
        </w:rPr>
        <w:t>发文日期：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ascii="宋体" w:hAnsi="宋体" w:eastAsia="宋体"/>
        </w:rPr>
        <w:t>日</w:t>
      </w:r>
    </w:p>
    <w:p w14:paraId="67BAF137">
      <w:pPr>
        <w:spacing w:before="105"/>
        <w:ind w:firstLine="420"/>
      </w:pPr>
      <w:r>
        <w:rPr>
          <w:rStyle w:val="44"/>
          <w:rFonts w:ascii="宋体" w:hAnsi="宋体" w:eastAsia="宋体"/>
        </w:rPr>
        <w:t>施行日期：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10</w:t>
      </w:r>
      <w:r>
        <w:rPr>
          <w:rFonts w:ascii="宋体" w:hAnsi="宋体" w:eastAsia="宋体"/>
        </w:rPr>
        <w:t>月</w:t>
      </w:r>
      <w:r>
        <w:rPr>
          <w:rFonts w:hint="eastAsia" w:ascii="宋体" w:hAnsi="宋体" w:eastAsia="宋体"/>
          <w:lang w:val="en-US" w:eastAsia="zh-CN"/>
        </w:rPr>
        <w:t>16</w:t>
      </w:r>
      <w:r>
        <w:rPr>
          <w:rFonts w:ascii="宋体" w:hAnsi="宋体" w:eastAsia="宋体"/>
        </w:rPr>
        <w:t>日</w:t>
      </w:r>
    </w:p>
    <w:p w14:paraId="6F2651B7">
      <w:pPr>
        <w:spacing w:before="0" w:beforeLines="0" w:after="0" w:afterLines="0"/>
        <w:ind w:firstLine="420" w:firstLineChars="200"/>
        <w:rPr>
          <w:rFonts w:hint="default" w:ascii="宋体" w:hAnsi="宋体" w:eastAsia="宋体"/>
        </w:rPr>
      </w:pPr>
    </w:p>
    <w:p w14:paraId="12572FE9">
      <w:pPr>
        <w:spacing w:before="0" w:beforeLines="0" w:after="0" w:afterLines="0"/>
        <w:ind w:firstLine="420" w:firstLineChars="200"/>
        <w:jc w:val="left"/>
        <w:rPr>
          <w:rFonts w:hint="default" w:ascii="宋体" w:hAnsi="宋体" w:eastAsia="宋体"/>
        </w:rPr>
      </w:pPr>
      <w:r>
        <w:rPr>
          <w:rFonts w:hint="default" w:ascii="宋体" w:hAnsi="宋体" w:eastAsia="宋体"/>
        </w:rPr>
        <w:t>　　为进一步规范临床急需港澳药械流通数据报送工作，确保急需港澳药械从进口到使用全过程可追溯，依据《广东省粤港澳大湾区内地九市进口港澳药品医疗器械管理条例》，广东省药品监督管理局对2021年发布的《粤港澳大湾区内地临床急需进口港澳药械流通管理系统企业数据采集接口对接指南》和《粤港澳大湾区内地临床急需进口港澳药械流通管理系统企业数据采集接口规范》进行了修订，现予发布。</w:t>
      </w:r>
    </w:p>
    <w:p w14:paraId="5653A7F8">
      <w:pPr>
        <w:spacing w:before="0" w:beforeLines="0" w:after="0" w:afterLines="0"/>
        <w:ind w:firstLine="420" w:firstLineChars="200"/>
        <w:jc w:val="left"/>
        <w:rPr>
          <w:rFonts w:hint="default" w:ascii="宋体" w:hAnsi="宋体" w:eastAsia="宋体"/>
        </w:rPr>
      </w:pPr>
      <w:r>
        <w:rPr>
          <w:rFonts w:hint="default" w:ascii="宋体" w:hAnsi="宋体" w:eastAsia="宋体"/>
        </w:rPr>
        <w:t>　　特此通告。</w:t>
      </w:r>
    </w:p>
    <w:p w14:paraId="4DEDE0F8">
      <w:pPr>
        <w:spacing w:before="0" w:beforeLines="0" w:after="0" w:afterLines="0"/>
        <w:ind w:firstLine="420" w:firstLineChars="200"/>
        <w:jc w:val="left"/>
        <w:rPr>
          <w:rFonts w:hint="default" w:ascii="宋体" w:hAnsi="宋体" w:eastAsia="宋体"/>
        </w:rPr>
      </w:pPr>
      <w:r>
        <w:rPr>
          <w:rFonts w:hint="default" w:ascii="宋体" w:hAnsi="宋体" w:eastAsia="宋体"/>
        </w:rPr>
        <w:t>　　附件：1.粤港澳大湾区内地临床急需进口港澳药械流通管理系统数据采集接口对接指南（2025年修订版）</w:t>
      </w:r>
    </w:p>
    <w:p w14:paraId="25B725F0">
      <w:pPr>
        <w:spacing w:before="0" w:beforeLines="0" w:after="0" w:afterLines="0"/>
        <w:ind w:firstLine="420" w:firstLineChars="200"/>
        <w:jc w:val="left"/>
        <w:rPr>
          <w:rFonts w:hint="default" w:ascii="宋体" w:hAnsi="宋体" w:eastAsia="宋体"/>
        </w:rPr>
      </w:pPr>
      <w:r>
        <w:rPr>
          <w:rFonts w:hint="default" w:ascii="宋体" w:hAnsi="宋体" w:eastAsia="宋体"/>
        </w:rPr>
        <w:t>　　2.粤港澳大湾区内地临床急需进口港澳药械流通管理系统数据采集接口规范（2025年修订版）</w:t>
      </w:r>
    </w:p>
    <w:p w14:paraId="42FDAB82">
      <w:pPr>
        <w:spacing w:before="0" w:beforeLines="0" w:after="0" w:afterLines="0"/>
        <w:ind w:firstLine="420" w:firstLineChars="200"/>
        <w:jc w:val="left"/>
        <w:rPr>
          <w:rFonts w:hint="default" w:ascii="宋体" w:hAnsi="宋体" w:eastAsia="宋体"/>
        </w:rPr>
      </w:pPr>
      <w:bookmarkStart w:id="0" w:name="_GoBack"/>
      <w:bookmarkEnd w:id="0"/>
      <w:r>
        <w:rPr>
          <w:rFonts w:hint="default" w:ascii="宋体" w:hAnsi="宋体" w:eastAsia="宋体"/>
        </w:rPr>
        <w:t>　　3.修订说明</w:t>
      </w:r>
    </w:p>
    <w:p w14:paraId="4215D7E5">
      <w:pPr>
        <w:spacing w:before="0" w:beforeLines="0" w:after="0" w:afterLines="0"/>
        <w:ind w:firstLine="420" w:firstLineChars="200"/>
        <w:jc w:val="right"/>
        <w:rPr>
          <w:rFonts w:hint="default" w:ascii="宋体" w:hAnsi="宋体" w:eastAsia="宋体"/>
        </w:rPr>
      </w:pPr>
    </w:p>
    <w:p w14:paraId="321BCACE">
      <w:pPr>
        <w:spacing w:before="0" w:beforeLines="0" w:after="0" w:afterLines="0"/>
        <w:ind w:firstLine="420" w:firstLineChars="200"/>
        <w:jc w:val="right"/>
        <w:rPr>
          <w:rFonts w:hint="default" w:ascii="宋体" w:hAnsi="宋体" w:eastAsia="宋体"/>
        </w:rPr>
      </w:pPr>
      <w:r>
        <w:rPr>
          <w:rFonts w:hint="default" w:ascii="宋体" w:hAnsi="宋体" w:eastAsia="宋体"/>
        </w:rPr>
        <w:t>广东省药品监督管理局</w:t>
      </w:r>
    </w:p>
    <w:p w14:paraId="13192B2F">
      <w:pPr>
        <w:spacing w:before="0" w:beforeLines="0" w:after="0" w:afterLines="0"/>
        <w:ind w:firstLine="420" w:firstLineChars="200"/>
        <w:jc w:val="right"/>
        <w:rPr>
          <w:rFonts w:hint="default" w:ascii="宋体" w:hAnsi="宋体" w:eastAsia="宋体"/>
        </w:rPr>
      </w:pPr>
      <w:r>
        <w:rPr>
          <w:rFonts w:hint="default" w:ascii="宋体" w:hAnsi="宋体" w:eastAsia="宋体"/>
        </w:rPr>
        <w:t>　　2025年10月16日</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08D">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74F">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65A1A4A3">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0535F3A2">
    <w:pPr>
      <w:pStyle w:val="12"/>
      <w:spacing w:before="120"/>
      <w:ind w:firstLine="360"/>
    </w:pPr>
  </w:p>
  <w:p w14:paraId="7D151C96">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BA8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F08">
    <w:pPr>
      <w:pStyle w:val="13"/>
      <w:rPr>
        <w:rFonts w:hint="eastAsia" w:ascii="宋体" w:hAnsi="宋体" w:eastAsia="宋体"/>
      </w:rPr>
    </w:pPr>
    <w:r>
      <w:rPr>
        <w:rFonts w:hint="eastAsia" w:ascii="宋体" w:hAnsi="宋体" w:eastAsia="宋体"/>
      </w:rPr>
      <w:t>广东省药品监督管理局关于发布《粤港澳大湾区内地临床急需进口港澳药械流通管理系统数据采集接口对接指南（2025年修订版）》和《粤港澳大湾区内地临床急需进口港澳药械流通管理系统数据采集接口规范（2025年修订版）》的通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493E">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2149">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35895362"/>
    <w:rsid w:val="3E965F71"/>
    <w:rsid w:val="4DA841F4"/>
    <w:rsid w:val="7CA11E8A"/>
    <w:rsid w:val="7D0239D2"/>
    <w:rsid w:val="7DFC6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39" w:semiHidden="0" w:name="toc 8"/>
    <w:lsdException w:qFormat="1" w:uiPriority="39" w:semiHidden="0"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uiPriority w:val="39"/>
    <w:pPr>
      <w:spacing w:before="0"/>
      <w:ind w:left="420"/>
    </w:pPr>
    <w:rPr>
      <w:rFonts w:asciiTheme="minorHAnsi" w:eastAsiaTheme="minorHAnsi"/>
      <w:i/>
      <w:iCs/>
      <w:sz w:val="20"/>
      <w:szCs w:val="20"/>
    </w:rPr>
  </w:style>
  <w:style w:type="paragraph" w:styleId="10">
    <w:name w:val="toc 8"/>
    <w:basedOn w:val="1"/>
    <w:next w:val="1"/>
    <w:autoRedefine/>
    <w:unhideWhenUsed/>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qFormat/>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qFormat/>
    <w:uiPriority w:val="99"/>
    <w:rPr>
      <w:sz w:val="18"/>
      <w:szCs w:val="18"/>
    </w:rPr>
  </w:style>
  <w:style w:type="character" w:customStyle="1" w:styleId="32">
    <w:name w:val="标题 1 字符"/>
    <w:basedOn w:val="25"/>
    <w:link w:val="2"/>
    <w:qFormat/>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qFormat/>
    <w:uiPriority w:val="99"/>
    <w:pPr>
      <w:spacing w:before="315" w:after="315" w:line="300" w:lineRule="exact"/>
    </w:pPr>
    <w:rPr>
      <w:rFonts w:ascii="微软雅黑" w:hAnsi="微软雅黑" w:eastAsia="微软雅黑"/>
    </w:rPr>
  </w:style>
  <w:style w:type="paragraph" w:customStyle="1" w:styleId="35">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qFormat/>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qFormat/>
    <w:uiPriority w:val="0"/>
    <w:rPr>
      <w:rFonts w:hint="eastAsia" w:ascii="微软雅黑" w:hAnsi="微软雅黑" w:eastAsia="微软雅黑"/>
      <w:b/>
      <w:bCs/>
      <w:sz w:val="21"/>
      <w:szCs w:val="21"/>
    </w:rPr>
  </w:style>
  <w:style w:type="character" w:customStyle="1" w:styleId="47">
    <w:name w:val="批注文字 字符"/>
    <w:basedOn w:val="25"/>
    <w:link w:val="7"/>
    <w:qFormat/>
    <w:uiPriority w:val="99"/>
    <w:rPr>
      <w:rFonts w:ascii="宋体" w:hAnsi="宋体" w:eastAsia="宋体" w:cs="宋体"/>
      <w:kern w:val="0"/>
    </w:rPr>
  </w:style>
  <w:style w:type="character" w:customStyle="1" w:styleId="48">
    <w:name w:val="批注主题 字符"/>
    <w:basedOn w:val="47"/>
    <w:link w:val="22"/>
    <w:semiHidden/>
    <w:qFormat/>
    <w:uiPriority w:val="99"/>
    <w:rPr>
      <w:rFonts w:ascii="宋体" w:hAnsi="宋体" w:eastAsia="宋体" w:cs="宋体"/>
      <w:b/>
      <w:bCs/>
      <w:kern w:val="0"/>
    </w:rPr>
  </w:style>
  <w:style w:type="character" w:customStyle="1" w:styleId="49">
    <w:name w:val="批注框文本 字符"/>
    <w:basedOn w:val="25"/>
    <w:link w:val="11"/>
    <w:semiHidden/>
    <w:qFormat/>
    <w:uiPriority w:val="99"/>
    <w:rPr>
      <w:rFonts w:ascii="Times New Roman" w:hAnsi="Times New Roman" w:eastAsia="宋体" w:cs="Times New Roman"/>
      <w:kern w:val="0"/>
      <w:sz w:val="18"/>
      <w:szCs w:val="18"/>
    </w:rPr>
  </w:style>
  <w:style w:type="character" w:customStyle="1" w:styleId="50">
    <w:name w:val="标题 3 字符"/>
    <w:basedOn w:val="25"/>
    <w:link w:val="4"/>
    <w:qFormat/>
    <w:uiPriority w:val="9"/>
    <w:rPr>
      <w:rFonts w:ascii="等线" w:hAnsi="等线" w:eastAsia="等线" w:cs="宋体"/>
      <w:b/>
      <w:bCs/>
      <w:kern w:val="0"/>
      <w:szCs w:val="32"/>
    </w:rPr>
  </w:style>
  <w:style w:type="character" w:customStyle="1" w:styleId="51">
    <w:name w:val="标题 2 字符"/>
    <w:basedOn w:val="25"/>
    <w:link w:val="3"/>
    <w:qFormat/>
    <w:uiPriority w:val="9"/>
    <w:rPr>
      <w:rFonts w:ascii="等线" w:hAnsi="等线" w:eastAsia="等线"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qFormat/>
    <w:uiPriority w:val="99"/>
    <w:rPr>
      <w:rFonts w:ascii="宋体" w:hAnsi="宋体" w:eastAsia="宋体" w:cs="宋体"/>
      <w:kern w:val="0"/>
      <w:sz w:val="24"/>
      <w:szCs w:val="24"/>
      <w:lang w:val="en-US" w:eastAsia="zh-CN" w:bidi="ar-SA"/>
    </w:rPr>
  </w:style>
  <w:style w:type="character" w:customStyle="1" w:styleId="55">
    <w:name w:val="标题 字符"/>
    <w:basedOn w:val="25"/>
    <w:link w:val="21"/>
    <w:qFormat/>
    <w:uiPriority w:val="10"/>
    <w:rPr>
      <w:rFonts w:eastAsia="Songti SC" w:asciiTheme="majorHAnsi" w:hAnsiTheme="majorHAnsi" w:cstheme="majorBidi"/>
      <w:b/>
      <w:bCs/>
      <w:kern w:val="0"/>
      <w:sz w:val="32"/>
      <w:szCs w:val="32"/>
    </w:rPr>
  </w:style>
  <w:style w:type="character" w:customStyle="1" w:styleId="56">
    <w:name w:val="副标题 字符"/>
    <w:basedOn w:val="25"/>
    <w:link w:val="16"/>
    <w:qFormat/>
    <w:uiPriority w:val="11"/>
    <w:rPr>
      <w:rFonts w:eastAsia="等线"/>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qFormat/>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188</Words>
  <Characters>223</Characters>
  <Lines>5</Lines>
  <Paragraphs>1</Paragraphs>
  <TotalTime>513</TotalTime>
  <ScaleCrop>false</ScaleCrop>
  <LinksUpToDate>false</LinksUpToDate>
  <CharactersWithSpaces>249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王华营</dc:creator>
  <cp:lastModifiedBy>王华营</cp:lastModifiedBy>
  <cp:lastPrinted>2018-09-08T01:56:00Z</cp:lastPrinted>
  <dcterms:modified xsi:type="dcterms:W3CDTF">2025-10-23T15:33:28Z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eyJoZGlkIjoiOThjYzZhMjliZTBlMTZjZGJlMTQyYTUzZDU1OGJkNzIiLCJ1c2VySWQiOiI5NzAwOTQ4OTQifQ==</vt:lpwstr>
  </property>
  <property fmtid="{D5CDD505-2E9C-101B-9397-08002B2CF9AE}" pid="3" name="KSOProductBuildVer">
    <vt:lpwstr>2052-12.1.0.23125</vt:lpwstr>
  </property>
  <property fmtid="{D5CDD505-2E9C-101B-9397-08002B2CF9AE}" pid="4" name="ICV">
    <vt:lpwstr>9F25F65812CB4DE8BEBE112D3AC6BB9E_13</vt:lpwstr>
  </property>
</Properties>
</file>