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282B" w14:textId="4E7E64E1" w:rsidR="00C94D3D" w:rsidRPr="00C94D3D" w:rsidRDefault="00C94D3D" w:rsidP="00C94D3D">
      <w:pPr>
        <w:widowControl/>
        <w:shd w:val="clear" w:color="auto" w:fill="FFFFFF"/>
        <w:spacing w:line="585" w:lineRule="atLeast"/>
        <w:jc w:val="center"/>
        <w:outlineLvl w:val="1"/>
        <w:rPr>
          <w:rFonts w:ascii="微软雅黑" w:eastAsia="微软雅黑" w:hAnsi="微软雅黑" w:cs="宋体"/>
          <w:noProof w:val="0"/>
          <w:color w:val="333333"/>
          <w:kern w:val="0"/>
          <w:sz w:val="39"/>
          <w:szCs w:val="39"/>
        </w:rPr>
      </w:pPr>
      <w:r w:rsidRPr="00C94D3D">
        <w:rPr>
          <w:rFonts w:ascii="微软雅黑" w:eastAsia="微软雅黑" w:hAnsi="微软雅黑" w:cs="宋体" w:hint="eastAsia"/>
          <w:noProof w:val="0"/>
          <w:color w:val="333333"/>
          <w:kern w:val="0"/>
          <w:sz w:val="39"/>
          <w:szCs w:val="39"/>
        </w:rPr>
        <w:t>国家药监局关于《已使用化妆品原料目录》管理有关事项的公告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103"/>
      </w:tblGrid>
      <w:tr w:rsidR="00C94D3D" w:rsidRPr="00C94D3D" w14:paraId="20899DF6" w14:textId="77777777" w:rsidTr="00C94D3D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CFFAA" w14:textId="0E041F28" w:rsidR="00C94D3D" w:rsidRPr="00C94D3D" w:rsidRDefault="00C94D3D" w:rsidP="00C94D3D">
            <w:pPr>
              <w:widowControl/>
              <w:jc w:val="left"/>
              <w:rPr>
                <w:rFonts w:ascii="宋体" w:eastAsia="宋体" w:hAnsi="宋体" w:cs="宋体" w:hint="eastAsia"/>
                <w:noProof w:val="0"/>
                <w:kern w:val="0"/>
                <w:sz w:val="24"/>
                <w:szCs w:val="24"/>
              </w:rPr>
            </w:pPr>
            <w:r w:rsidRPr="00C94D3D"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91B51" w14:textId="47742A0F" w:rsidR="00C94D3D" w:rsidRPr="00C94D3D" w:rsidRDefault="00C94D3D" w:rsidP="00C94D3D">
            <w:pPr>
              <w:widowControl/>
              <w:jc w:val="left"/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</w:pPr>
            <w:r w:rsidRPr="00C94D3D"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  <w:t>    </w:t>
            </w:r>
            <w:hyperlink r:id="rId4" w:tgtFrame="_blank" w:history="1">
              <w:r w:rsidRPr="00C94D3D">
                <w:rPr>
                  <w:rFonts w:ascii="微软雅黑" w:eastAsia="微软雅黑" w:hAnsi="微软雅黑" w:cs="宋体" w:hint="eastAsia"/>
                  <w:noProof w:val="0"/>
                  <w:color w:val="333333"/>
                  <w:kern w:val="0"/>
                  <w:sz w:val="24"/>
                  <w:szCs w:val="24"/>
                  <w:u w:val="single"/>
                </w:rPr>
                <w:t> </w:t>
              </w:r>
            </w:hyperlink>
            <w:hyperlink r:id="rId5" w:tgtFrame="_blank" w:history="1">
              <w:r w:rsidRPr="00C94D3D">
                <w:rPr>
                  <w:rFonts w:ascii="微软雅黑" w:eastAsia="微软雅黑" w:hAnsi="微软雅黑" w:cs="宋体" w:hint="eastAsia"/>
                  <w:noProof w:val="0"/>
                  <w:color w:val="333333"/>
                  <w:kern w:val="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14:paraId="229481D6" w14:textId="77777777" w:rsidR="00C94D3D" w:rsidRPr="00C94D3D" w:rsidRDefault="00C94D3D" w:rsidP="00C94D3D">
      <w:pPr>
        <w:widowControl/>
        <w:shd w:val="clear" w:color="auto" w:fill="FFFFFF"/>
        <w:spacing w:after="240" w:line="480" w:lineRule="atLeast"/>
        <w:ind w:firstLine="480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为贯彻执行《化妆品监督管理条例》，进一步规范化妆品原料管理，鼓励原料创新，现就《已使用化妆品原料目录》（以下简称《目录》）管理有关事项公告如下：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 一、根据《化妆品监督管理条例》规定，经注册、备案的化妆品新原料投入使用后3年安全监测期满未发生安全问题的，纳入《目录》。为便于已使用化妆品原料管理，国家药监局将《目录》分为Ⅰ和Ⅱ两个清单管理。对国家药监局2021年发布的《目录》进行局部修改完善，作为《目录》Ⅰ管理。化妆品新原料安全监测期满纳入《目录》的，作为《目录》Ⅱ管理。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 二、《目录》Ⅰ（见附件1）在国家药监局2021年发布的《目录》基础上，不再保留“产品最高历史使用量”这一项目，对有关原料中文名称或者INCI名称/英文名称予以规范，同时根据《化妆品安全技术规范》调整有关原料的备注内容等。《目录》Ⅱ（见附件2）纳入“N-乙酰神经氨酸”和“β-丙氨酰羟脯氨酰二氨基丁酸苄胺”两个化妆品新原料，上述两个新原料经备案后，安全监测期已满3年，经评估符合相关法规要求。《目录》调整说明见附件3。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 三、国家药监局建立《目录》动态调整机制，对《目录》实行动态更新，根据科学研究进展、行业发展和监管工作实际等，对《目录》进行补充、完善、勘误等。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lastRenderedPageBreak/>
        <w:t>       四、自即日起，国家药监局不再以公告形式发布《目录》，更新后的《目录》以及《目录》调整说明将通过国家药监局网站及时主动公开。查询渠道为国家药监局官方网站（</w:t>
      </w:r>
      <w:hyperlink r:id="rId6" w:history="1">
        <w:r w:rsidRPr="00C94D3D">
          <w:rPr>
            <w:rFonts w:ascii="微软雅黑" w:eastAsia="微软雅黑" w:hAnsi="微软雅黑" w:cs="宋体" w:hint="eastAsia"/>
            <w:noProof w:val="0"/>
            <w:color w:val="333333"/>
            <w:kern w:val="0"/>
            <w:sz w:val="24"/>
            <w:szCs w:val="24"/>
            <w:u w:val="single"/>
          </w:rPr>
          <w:t>http://www.nmpa.gov.cn/</w:t>
        </w:r>
      </w:hyperlink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）“化妆品—化妆品查询—已使用化妆品原料目录”。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 特此公告。</w:t>
      </w:r>
    </w:p>
    <w:p w14:paraId="3645BB9F" w14:textId="77777777" w:rsidR="00C94D3D" w:rsidRPr="00C94D3D" w:rsidRDefault="00C94D3D" w:rsidP="00C94D3D">
      <w:pPr>
        <w:widowControl/>
        <w:shd w:val="clear" w:color="auto" w:fill="FFFFFF"/>
        <w:spacing w:after="240" w:line="480" w:lineRule="atLeast"/>
        <w:ind w:firstLine="480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附件：1.《已使用化妆品原料目录》Ⅰ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           2.《已使用化妆品原料目录》Ⅱ</w:t>
      </w: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br/>
        <w:t>                 3.《已使用化妆品原料目录》调整说明</w:t>
      </w:r>
    </w:p>
    <w:p w14:paraId="2C3B842D" w14:textId="77777777" w:rsidR="00C94D3D" w:rsidRPr="00C94D3D" w:rsidRDefault="00C94D3D" w:rsidP="00C94D3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国家药监局</w:t>
      </w:r>
    </w:p>
    <w:p w14:paraId="024A7BC8" w14:textId="77777777" w:rsidR="00C94D3D" w:rsidRPr="00C94D3D" w:rsidRDefault="00C94D3D" w:rsidP="00C94D3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 xml:space="preserve">　　2025年6月23日</w:t>
      </w:r>
    </w:p>
    <w:p w14:paraId="7E7B5B6E" w14:textId="77777777" w:rsidR="00C94D3D" w:rsidRPr="00C94D3D" w:rsidRDefault="00C94D3D" w:rsidP="00C94D3D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00CAB263" wp14:editId="7B2A20DB">
            <wp:extent cx="152400" cy="152400"/>
            <wp:effectExtent l="0" t="0" r="0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附件1：《已使用化妆品原料目录》Ⅰ.xlsx" w:history="1">
        <w:r w:rsidRPr="00C94D3D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附件1：《已使用化妆品原料目录》Ⅰ.xlsx</w:t>
        </w:r>
      </w:hyperlink>
    </w:p>
    <w:p w14:paraId="5D6F7882" w14:textId="77777777" w:rsidR="00C94D3D" w:rsidRPr="00C94D3D" w:rsidRDefault="00C94D3D" w:rsidP="00C94D3D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1A3B67CD" wp14:editId="7409D440">
            <wp:extent cx="152400" cy="152400"/>
            <wp:effectExtent l="0" t="0" r="0" b="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附件2：《已使用化妆品原料目录》Ⅱ.docx" w:history="1">
        <w:r w:rsidRPr="00C94D3D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附件2：《已使用化妆品原料目录》Ⅱ.docx</w:t>
        </w:r>
      </w:hyperlink>
    </w:p>
    <w:p w14:paraId="186EF336" w14:textId="77777777" w:rsidR="00C94D3D" w:rsidRPr="00C94D3D" w:rsidRDefault="00C94D3D" w:rsidP="00C94D3D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C94D3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drawing>
          <wp:inline distT="0" distB="0" distL="0" distR="0" wp14:anchorId="38207E9B" wp14:editId="51A5D4C1">
            <wp:extent cx="152400" cy="152400"/>
            <wp:effectExtent l="0" t="0" r="0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ooltip="附件3：《已使用化妆品原料目录》调整说明.docx" w:history="1">
        <w:r w:rsidRPr="00C94D3D">
          <w:rPr>
            <w:rFonts w:ascii="微软雅黑" w:eastAsia="微软雅黑" w:hAnsi="微软雅黑" w:cs="宋体" w:hint="eastAsia"/>
            <w:noProof w:val="0"/>
            <w:color w:val="0066CC"/>
            <w:kern w:val="0"/>
            <w:sz w:val="18"/>
            <w:szCs w:val="18"/>
            <w:u w:val="single"/>
          </w:rPr>
          <w:t>附件3：《已使用化妆品原料目录》调整说明.docx</w:t>
        </w:r>
      </w:hyperlink>
    </w:p>
    <w:p w14:paraId="4F6C69BE" w14:textId="77777777" w:rsidR="00650F85" w:rsidRPr="00C94D3D" w:rsidRDefault="00650F85">
      <w:pPr>
        <w:rPr>
          <w:rFonts w:hint="eastAsia"/>
        </w:rPr>
      </w:pPr>
    </w:p>
    <w:sectPr w:rsidR="00650F85" w:rsidRPr="00C9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3D"/>
    <w:rsid w:val="00650F85"/>
    <w:rsid w:val="006C67A0"/>
    <w:rsid w:val="00C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0240"/>
  <w15:chartTrackingRefBased/>
  <w15:docId w15:val="{ED24FE51-6C5C-4D24-9F1A-D7079FD8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C94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3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D3D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D3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D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D3D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D3D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4D3D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D3D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D3D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D3D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D3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D3D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D3D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D3D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89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a.gov.cn/directory/web/nmpa/images/1750758382699048245.xls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pa.gov.cn/" TargetMode="External"/><Relationship Id="rId11" Type="http://schemas.openxmlformats.org/officeDocument/2006/relationships/hyperlink" Target="https://www.nmpa.gov.cn/directory/web/nmpa/images/1750751619703013511.docx" TargetMode="External"/><Relationship Id="rId5" Type="http://schemas.openxmlformats.org/officeDocument/2006/relationships/hyperlink" Target="http://sns.qzone.qq.com/cgi-bin/qzshare/cgi_qzshare_onekey?url=https%3A%2F%2Fwww.nmpa.gov.cn%2Fxxgk%2Fggtg%2Fhzhpggtg%2Fjmhzhptg%2F20250624153604180.html&amp;title=%E5%9B%BD%E5%AE%B6%E8%8D%AF%E7%9B%91%E5%B1%80%E5%85%B3%E4%BA%8E%E3%80%8A%E5%B7%B2%E4%BD%BF%E7%94%A8%E5%8C%96%E5%A6%86%E5%93%81%E5%8E%9F%E6%96%99%E7%9B%AE%E5%BD%95%E3%80%8B%E7%AE%A1%E7%90%86%E6%9C%89%E5%85%B3%E4%BA%8B%E9%A1%B9%E7%9A%84%E5%85%AC%E5%91%8A%EF%BC%882025%E5%B9%B4%E7%AC%AC61%E5%8F%B7%EF%BC%89&amp;api_key=" TargetMode="External"/><Relationship Id="rId10" Type="http://schemas.openxmlformats.org/officeDocument/2006/relationships/hyperlink" Target="https://www.nmpa.gov.cn/directory/web/nmpa/images/1750751609545011205.docx" TargetMode="External"/><Relationship Id="rId4" Type="http://schemas.openxmlformats.org/officeDocument/2006/relationships/hyperlink" Target="http://v.t.sina.com.cn/share/share.php?title=%E5%9B%BD%E5%AE%B6%E8%8D%AF%E7%9B%91%E5%B1%80%E5%85%B3%E4%BA%8E%E3%80%8A%E5%B7%B2%E4%BD%BF%E7%94%A8%E5%8C%96%E5%A6%86%E5%93%81%E5%8E%9F%E6%96%99%E7%9B%AE%E5%BD%95%E3%80%8B%E7%AE%A1%E7%90%86%E6%9C%89%E5%85%B3%E4%BA%8B%E9%A1%B9%E7%9A%84%E5%85%AC%E5%91%8A%EF%BC%882025%E5%B9%B4%E7%AC%AC61%E5%8F%B7%EF%BC%89&amp;url=https%3A%2F%2Fwww.nmpa.gov.cn%2Fxxgk%2Fggtg%2Fhzhpggtg%2Fjmhzhptg%2F20250624153604180.html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2025-07-02T08:08:00Z</dcterms:created>
  <dcterms:modified xsi:type="dcterms:W3CDTF">2025-07-02T08:10:00Z</dcterms:modified>
</cp:coreProperties>
</file>