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BF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firstLine="0"/>
        <w:jc w:val="center"/>
        <w:rPr>
          <w:rFonts w:hint="eastAsia" w:ascii="黑体" w:hAnsi="黑体" w:eastAsia="黑体" w:cs="黑体"/>
          <w:b w:val="0"/>
          <w:bCs w:val="0"/>
          <w:i w:val="0"/>
          <w:iCs w:val="0"/>
          <w:caps w:val="0"/>
          <w:color w:val="333333"/>
          <w:spacing w:val="0"/>
          <w:sz w:val="32"/>
          <w:szCs w:val="32"/>
          <w:u w:val="none"/>
        </w:rPr>
      </w:pPr>
      <w:bookmarkStart w:id="0" w:name="_GoBack"/>
      <w:r>
        <w:rPr>
          <w:rFonts w:hint="eastAsia" w:ascii="黑体" w:hAnsi="黑体" w:eastAsia="黑体" w:cs="黑体"/>
          <w:b w:val="0"/>
          <w:bCs w:val="0"/>
          <w:i w:val="0"/>
          <w:iCs w:val="0"/>
          <w:caps w:val="0"/>
          <w:color w:val="333333"/>
          <w:spacing w:val="0"/>
          <w:sz w:val="32"/>
          <w:szCs w:val="32"/>
          <w:u w:val="none"/>
          <w:bdr w:val="none" w:color="auto" w:sz="0" w:space="0"/>
        </w:rPr>
        <w:t>国家药监局综合司关于调整流感疫苗批签发时限的通知</w:t>
      </w:r>
    </w:p>
    <w:bookmarkEnd w:id="0"/>
    <w:p w14:paraId="1F8CFF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仿宋" w:hAnsi="仿宋" w:eastAsia="仿宋" w:cs="仿宋"/>
          <w:b w:val="0"/>
          <w:bCs w:val="0"/>
          <w:i w:val="0"/>
          <w:iCs w:val="0"/>
          <w:caps w:val="0"/>
          <w:color w:val="333333"/>
          <w:spacing w:val="0"/>
          <w:sz w:val="28"/>
          <w:szCs w:val="28"/>
          <w:u w:val="none"/>
        </w:rPr>
      </w:pPr>
      <w:r>
        <w:rPr>
          <w:rFonts w:hint="eastAsia" w:ascii="仿宋" w:hAnsi="仿宋" w:eastAsia="仿宋" w:cs="仿宋"/>
          <w:b w:val="0"/>
          <w:bCs w:val="0"/>
          <w:i w:val="0"/>
          <w:iCs w:val="0"/>
          <w:caps w:val="0"/>
          <w:color w:val="333333"/>
          <w:spacing w:val="0"/>
          <w:sz w:val="28"/>
          <w:szCs w:val="28"/>
          <w:u w:val="none"/>
          <w:bdr w:val="none" w:color="auto" w:sz="0" w:space="0"/>
        </w:rPr>
        <w:t>药监综药管函〔2025〕185号</w:t>
      </w:r>
    </w:p>
    <w:p w14:paraId="5BFB791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各省、自治区、直辖市和新疆生产建设兵团药品监督管理局，中国食品药品检定研究院：</w:t>
      </w:r>
    </w:p>
    <w:p w14:paraId="327F661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为贯彻落实国务院办公厅《关于全面深化药品医疗器械监管改革促进医药产业高质量发展的意见》（国办发〔2024〕53号）要求，进一步提升流感疫苗批签发效率，切实保护人民群众身体健康，国家药监局决定将流感疫苗的批签发时限由60个工作日调整为45个工作日。现将相关事宜通知如下：</w:t>
      </w:r>
    </w:p>
    <w:p w14:paraId="08356F6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一、请相关省（区、市）药品监督管理局通知本行政区域内流感疫苗批签发机构，自本通知发布之日起，流感疫苗产品批签发时限调整为45个工作日。发布前已受理但尚未完成批签发的产品，继续执行60个工作日批签发时限。</w:t>
      </w:r>
    </w:p>
    <w:p w14:paraId="27B75F60">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二、请相关省（区、市）药品监督管理局加强对本行政区域内批签发机构的日常管理，督促指导批签发机构推进批签发能力建设，持续提升批签发机构质量管理水平。</w:t>
      </w:r>
    </w:p>
    <w:p w14:paraId="0BECE694">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三、请中国食品药品检定研究院和流感疫苗批签发机构结合实际情况，合理优化批签发工作流程，稳步提高批签发工作效率，确保在规定时限内完成流感疫苗批签发工作。</w:t>
      </w:r>
    </w:p>
    <w:p w14:paraId="047EF39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w:t>
      </w:r>
    </w:p>
    <w:p w14:paraId="3CDCEB4C">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w:t>
      </w:r>
    </w:p>
    <w:p w14:paraId="79128561">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　　</w:t>
      </w:r>
    </w:p>
    <w:p w14:paraId="6D01765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right"/>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国家药监局综合司</w:t>
      </w:r>
    </w:p>
    <w:p w14:paraId="5F2676B4">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0" w:lineRule="atLeast"/>
        <w:ind w:left="0" w:right="0" w:firstLine="0"/>
        <w:jc w:val="right"/>
        <w:rPr>
          <w:rFonts w:hint="eastAsia" w:ascii="仿宋" w:hAnsi="仿宋" w:eastAsia="仿宋" w:cs="仿宋"/>
          <w:b w:val="0"/>
          <w:bCs w:val="0"/>
          <w:i w:val="0"/>
          <w:iCs w:val="0"/>
          <w:caps w:val="0"/>
          <w:color w:val="000000"/>
          <w:spacing w:val="0"/>
          <w:sz w:val="28"/>
          <w:szCs w:val="28"/>
          <w:u w:val="none"/>
        </w:rPr>
      </w:pPr>
      <w:r>
        <w:rPr>
          <w:rFonts w:hint="eastAsia" w:ascii="仿宋" w:hAnsi="仿宋" w:eastAsia="仿宋" w:cs="仿宋"/>
          <w:b w:val="0"/>
          <w:bCs w:val="0"/>
          <w:i w:val="0"/>
          <w:iCs w:val="0"/>
          <w:caps w:val="0"/>
          <w:color w:val="000000"/>
          <w:spacing w:val="0"/>
          <w:sz w:val="28"/>
          <w:szCs w:val="28"/>
          <w:u w:val="none"/>
          <w:bdr w:val="none" w:color="auto" w:sz="0" w:space="0"/>
        </w:rPr>
        <w:t>2025年4月1日</w:t>
      </w:r>
    </w:p>
    <w:p w14:paraId="3774F98E">
      <w:pPr>
        <w:keepNext w:val="0"/>
        <w:keepLines w:val="0"/>
        <w:widowControl/>
        <w:suppressLineNumbers w:val="0"/>
        <w:jc w:val="left"/>
        <w:rPr>
          <w:rFonts w:hint="eastAsia" w:ascii="仿宋" w:hAnsi="仿宋" w:eastAsia="仿宋" w:cs="仿宋"/>
          <w:sz w:val="28"/>
          <w:szCs w:val="28"/>
        </w:rPr>
      </w:pPr>
    </w:p>
    <w:p w14:paraId="0F89976E">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娃娃体-简">
    <w:panose1 w:val="040B0500000000000000"/>
    <w:charset w:val="86"/>
    <w:family w:val="auto"/>
    <w:pitch w:val="default"/>
    <w:sig w:usb0="A00002FF" w:usb1="38CF7CFB" w:usb2="00000016" w:usb3="00000000" w:csb0="00040003"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5A41"/>
    <w:rsid w:val="FFFF5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2025-04-28T11:57:00Z</dcterms:created>
  <dc:creator>Freya律师</dc:creator>
  <cp:lastModifiedBy>Freya律师</cp:lastModifiedBy>
  <dcterms:modified xsi:type="dcterms:W3CDTF">2025-04-28T11:57:57Z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FA86BB290DC5580696FC0E68AAA6A16C_41</vt:lpwstr>
  </property>
</Properties>
</file>