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FCEE6" w14:textId="77777777" w:rsidR="002E31C7" w:rsidRPr="002E31C7" w:rsidRDefault="002E31C7" w:rsidP="002E31C7">
      <w:pPr>
        <w:jc w:val="center"/>
      </w:pPr>
      <w:r w:rsidRPr="002E31C7">
        <w:rPr>
          <w:rFonts w:hint="eastAsia"/>
        </w:rPr>
        <w:t>关于规范公立医疗机构预交金管理工作的通知</w:t>
      </w:r>
    </w:p>
    <w:p w14:paraId="25212AFE" w14:textId="74906C11" w:rsidR="002E31C7" w:rsidRPr="002E31C7" w:rsidRDefault="002E31C7" w:rsidP="002E31C7">
      <w:pPr>
        <w:jc w:val="center"/>
        <w:rPr>
          <w:rFonts w:hint="eastAsia"/>
        </w:rPr>
      </w:pPr>
    </w:p>
    <w:p w14:paraId="0180E6EE" w14:textId="638EC54E" w:rsidR="002E31C7" w:rsidRPr="002E31C7" w:rsidRDefault="002E31C7" w:rsidP="002E31C7">
      <w:pPr>
        <w:jc w:val="center"/>
        <w:rPr>
          <w:rFonts w:hint="eastAsia"/>
        </w:rPr>
      </w:pPr>
      <w:r w:rsidRPr="002E31C7">
        <w:rPr>
          <w:rFonts w:hint="eastAsia"/>
        </w:rPr>
        <w:t>国卫办财务发〔2025〕5号</w:t>
      </w:r>
    </w:p>
    <w:p w14:paraId="4927F24E" w14:textId="77777777" w:rsidR="002E31C7" w:rsidRPr="002E31C7" w:rsidRDefault="002E31C7" w:rsidP="002E31C7">
      <w:pPr>
        <w:rPr>
          <w:rFonts w:hint="eastAsia"/>
        </w:rPr>
      </w:pPr>
      <w:r w:rsidRPr="002E31C7">
        <w:rPr>
          <w:rFonts w:hint="eastAsia"/>
        </w:rPr>
        <w:t> </w:t>
      </w:r>
    </w:p>
    <w:p w14:paraId="1C877CDF" w14:textId="77777777" w:rsidR="002E31C7" w:rsidRPr="002E31C7" w:rsidRDefault="002E31C7" w:rsidP="002E31C7">
      <w:pPr>
        <w:rPr>
          <w:rFonts w:hint="eastAsia"/>
        </w:rPr>
      </w:pPr>
      <w:r w:rsidRPr="002E31C7">
        <w:rPr>
          <w:rFonts w:hint="eastAsia"/>
        </w:rPr>
        <w:t>各省、自治区、直辖市及新疆生产建设兵团卫生健康委、财政厅（局）、医疗保障局、中医药局、疾控局，军队有关单位：</w:t>
      </w:r>
    </w:p>
    <w:p w14:paraId="14CE307C" w14:textId="77777777" w:rsidR="002E31C7" w:rsidRPr="002E31C7" w:rsidRDefault="002E31C7" w:rsidP="002E31C7">
      <w:pPr>
        <w:rPr>
          <w:rFonts w:hint="eastAsia"/>
        </w:rPr>
      </w:pPr>
      <w:r w:rsidRPr="002E31C7">
        <w:rPr>
          <w:rFonts w:hint="eastAsia"/>
        </w:rPr>
        <w:t>为贯彻落实党的二十大和二十届三中全会精神，坚持以人民为中心的发展理念，持续提升群众就医体验，切实减轻患者交纳预交金负担，现就规范公立医疗机构预交金管理工作通知如下：</w:t>
      </w:r>
    </w:p>
    <w:p w14:paraId="4526C4BC" w14:textId="77777777" w:rsidR="002E31C7" w:rsidRPr="002E31C7" w:rsidRDefault="002E31C7" w:rsidP="002E31C7">
      <w:pPr>
        <w:rPr>
          <w:rFonts w:hint="eastAsia"/>
        </w:rPr>
      </w:pPr>
      <w:r w:rsidRPr="002E31C7">
        <w:rPr>
          <w:rFonts w:hint="eastAsia"/>
        </w:rPr>
        <w:t>一、取消门诊预交金</w:t>
      </w:r>
    </w:p>
    <w:p w14:paraId="7B564945" w14:textId="77777777" w:rsidR="002E31C7" w:rsidRPr="002E31C7" w:rsidRDefault="002E31C7" w:rsidP="002E31C7">
      <w:pPr>
        <w:rPr>
          <w:rFonts w:hint="eastAsia"/>
        </w:rPr>
      </w:pPr>
      <w:r w:rsidRPr="002E31C7">
        <w:rPr>
          <w:rFonts w:hint="eastAsia"/>
        </w:rPr>
        <w:t>自2025年3月31日起，公立医疗机构要全面停止收取门诊预交金，2025年12月31日前完成存量门诊预交金的资金清算、退款。公立医疗机构要加强对存量门诊预交金退费受理、审核、确认、退款等全流程的监管。</w:t>
      </w:r>
    </w:p>
    <w:p w14:paraId="3845C843" w14:textId="77777777" w:rsidR="002E31C7" w:rsidRPr="002E31C7" w:rsidRDefault="002E31C7" w:rsidP="002E31C7">
      <w:pPr>
        <w:rPr>
          <w:rFonts w:hint="eastAsia"/>
        </w:rPr>
      </w:pPr>
      <w:r w:rsidRPr="002E31C7">
        <w:rPr>
          <w:rFonts w:hint="eastAsia"/>
        </w:rPr>
        <w:t>公立医疗机构要通过官网、就医小程序、电子屏等多种途径做好政策宣传，告知患者办理门诊预交金退款及流程，确因客观原因无法及时清退的，要做好台账管理，并按属地管理原则报卫生健康（中医药、疾控）行政部门。探索推进“诊间结算”、“一次就诊一次付费”等便民措施，优化门诊收费流程。</w:t>
      </w:r>
    </w:p>
    <w:p w14:paraId="68209744" w14:textId="77777777" w:rsidR="002E31C7" w:rsidRPr="002E31C7" w:rsidRDefault="002E31C7" w:rsidP="002E31C7">
      <w:pPr>
        <w:rPr>
          <w:rFonts w:hint="eastAsia"/>
        </w:rPr>
      </w:pPr>
      <w:r w:rsidRPr="002E31C7">
        <w:rPr>
          <w:rFonts w:hint="eastAsia"/>
        </w:rPr>
        <w:t>对急诊、急诊留观、门诊手术、急诊手术等情形，以及老年人等确有门急诊预交资金需求的群体，在患者自愿的前提下，公立医疗机构可保留门诊预交金，并报属地卫生健康（中医药、疾控）行政部门备案。</w:t>
      </w:r>
    </w:p>
    <w:p w14:paraId="4557FF3E" w14:textId="77777777" w:rsidR="002E31C7" w:rsidRPr="002E31C7" w:rsidRDefault="002E31C7" w:rsidP="002E31C7">
      <w:pPr>
        <w:rPr>
          <w:rFonts w:hint="eastAsia"/>
        </w:rPr>
      </w:pPr>
      <w:r w:rsidRPr="002E31C7">
        <w:rPr>
          <w:rFonts w:hint="eastAsia"/>
        </w:rPr>
        <w:t>二、降低住院预交金额度</w:t>
      </w:r>
    </w:p>
    <w:p w14:paraId="5BE7CACF" w14:textId="77777777" w:rsidR="002E31C7" w:rsidRPr="002E31C7" w:rsidRDefault="002E31C7" w:rsidP="002E31C7">
      <w:pPr>
        <w:rPr>
          <w:rFonts w:hint="eastAsia"/>
        </w:rPr>
      </w:pPr>
      <w:r w:rsidRPr="002E31C7">
        <w:rPr>
          <w:rFonts w:hint="eastAsia"/>
        </w:rPr>
        <w:t>各地要指导公立医疗机构根据住院患者疾病诊断、治疗方式、结算类型等因素，参考同病种前3年度实际发生的次均住院费用和个人自付费用，合理确定住院预交金额度，医保患者住院预交金额度降至同病种同保障类别个人自付平均水平。自2025年6月30日起，公立医疗机构要按照本通知相关要求收取住院预交金，并对常见病种预交金收取额度进行公示，接受公众监督。</w:t>
      </w:r>
    </w:p>
    <w:p w14:paraId="665C4682" w14:textId="77777777" w:rsidR="002E31C7" w:rsidRPr="002E31C7" w:rsidRDefault="002E31C7" w:rsidP="002E31C7">
      <w:pPr>
        <w:rPr>
          <w:rFonts w:hint="eastAsia"/>
        </w:rPr>
      </w:pPr>
      <w:r w:rsidRPr="002E31C7">
        <w:rPr>
          <w:rFonts w:hint="eastAsia"/>
        </w:rPr>
        <w:t>三、提高住院费用结算效率</w:t>
      </w:r>
    </w:p>
    <w:p w14:paraId="7D09C4DC" w14:textId="77777777" w:rsidR="002E31C7" w:rsidRPr="002E31C7" w:rsidRDefault="002E31C7" w:rsidP="002E31C7">
      <w:pPr>
        <w:rPr>
          <w:rFonts w:hint="eastAsia"/>
        </w:rPr>
      </w:pPr>
      <w:r w:rsidRPr="002E31C7">
        <w:rPr>
          <w:rFonts w:hint="eastAsia"/>
        </w:rPr>
        <w:t>各地要指导公立医疗机构优化住院预交金交纳、住院费用结算流程，全面提升管理效率。原则上，公立医疗机构要在患者出院后3个工作日内完成住院费用结算，逐步实现24小时内结算。</w:t>
      </w:r>
    </w:p>
    <w:p w14:paraId="7AD231BE" w14:textId="77777777" w:rsidR="002E31C7" w:rsidRPr="002E31C7" w:rsidRDefault="002E31C7" w:rsidP="002E31C7">
      <w:pPr>
        <w:rPr>
          <w:rFonts w:hint="eastAsia"/>
        </w:rPr>
      </w:pPr>
      <w:r w:rsidRPr="002E31C7">
        <w:rPr>
          <w:rFonts w:hint="eastAsia"/>
        </w:rPr>
        <w:t>公立医疗机构要加强内部信息化改造，实现科室间信息互通，方便患者查询预交金交纳明细、住院费用明细等；要持续改进内部工作流程，及时办理出院患者结算；要积极探索运用信息技术，推行“一站式结算”、“床旁结算”、“线上结算”等便民措施，提供多种交费渠道和结算方式，增强支付和结算的便利化、快捷化。</w:t>
      </w:r>
    </w:p>
    <w:p w14:paraId="6CCB2FBF" w14:textId="77777777" w:rsidR="002E31C7" w:rsidRPr="002E31C7" w:rsidRDefault="002E31C7" w:rsidP="002E31C7">
      <w:pPr>
        <w:rPr>
          <w:rFonts w:hint="eastAsia"/>
        </w:rPr>
      </w:pPr>
      <w:r w:rsidRPr="002E31C7">
        <w:rPr>
          <w:rFonts w:hint="eastAsia"/>
        </w:rPr>
        <w:t>四、鼓励探索多元化“先诊疗后付费”就医新模式</w:t>
      </w:r>
    </w:p>
    <w:p w14:paraId="49F3979D" w14:textId="77777777" w:rsidR="002E31C7" w:rsidRPr="002E31C7" w:rsidRDefault="002E31C7" w:rsidP="002E31C7">
      <w:pPr>
        <w:rPr>
          <w:rFonts w:hint="eastAsia"/>
        </w:rPr>
      </w:pPr>
      <w:r w:rsidRPr="002E31C7">
        <w:rPr>
          <w:rFonts w:hint="eastAsia"/>
        </w:rPr>
        <w:t>各地对脱贫人口、低保对象、特困人员和易返贫致贫人口等已出台“先诊疗后付费”等相关政策的，要及时做好就诊患者的身份识别和个性化管理服务，督促指导公立医疗机构落实到位。</w:t>
      </w:r>
    </w:p>
    <w:p w14:paraId="210C4B29" w14:textId="77777777" w:rsidR="002E31C7" w:rsidRPr="002E31C7" w:rsidRDefault="002E31C7" w:rsidP="002E31C7">
      <w:pPr>
        <w:rPr>
          <w:rFonts w:hint="eastAsia"/>
        </w:rPr>
      </w:pPr>
      <w:r w:rsidRPr="002E31C7">
        <w:rPr>
          <w:rFonts w:hint="eastAsia"/>
        </w:rPr>
        <w:t>鼓励有条件的公立医疗机构，结合个人征信体系等信用工具，逐步探索面向参加基本医疗保险和商业健康保险的就诊患者实行“先诊疗后付费”便民方式和信用就医结算方式，切实减轻患者就医时的预交资金压力。</w:t>
      </w:r>
    </w:p>
    <w:p w14:paraId="6FAC37A9" w14:textId="77777777" w:rsidR="002E31C7" w:rsidRPr="002E31C7" w:rsidRDefault="002E31C7" w:rsidP="002E31C7">
      <w:pPr>
        <w:rPr>
          <w:rFonts w:hint="eastAsia"/>
        </w:rPr>
      </w:pPr>
      <w:r w:rsidRPr="002E31C7">
        <w:rPr>
          <w:rFonts w:hint="eastAsia"/>
        </w:rPr>
        <w:t>五、充分发挥医保基金保障作用</w:t>
      </w:r>
    </w:p>
    <w:p w14:paraId="3CE05172" w14:textId="77777777" w:rsidR="002E31C7" w:rsidRPr="002E31C7" w:rsidRDefault="002E31C7" w:rsidP="002E31C7">
      <w:pPr>
        <w:rPr>
          <w:rFonts w:hint="eastAsia"/>
        </w:rPr>
      </w:pPr>
      <w:r w:rsidRPr="002E31C7">
        <w:rPr>
          <w:rFonts w:hint="eastAsia"/>
        </w:rPr>
        <w:t>各地医疗保障部门要加快实施以按病种付费为主的多元复合式支付方式改革，支持公立医疗机构高质量发展。落实医保预付金管理办法，帮助定点医疗机构缓解资金周转压力。通过医药集中带量采购，降低公立医疗机构药耗成本。加快推进医保移动支付。提升医保基金结算</w:t>
      </w:r>
      <w:r w:rsidRPr="002E31C7">
        <w:rPr>
          <w:rFonts w:hint="eastAsia"/>
        </w:rPr>
        <w:lastRenderedPageBreak/>
        <w:t>效率，缩短医保基金结算时间。推动建立健全参保人员信用管理制度和失信惩戒机制，加强风险管理。</w:t>
      </w:r>
    </w:p>
    <w:p w14:paraId="04A1506B" w14:textId="77777777" w:rsidR="002E31C7" w:rsidRPr="002E31C7" w:rsidRDefault="002E31C7" w:rsidP="002E31C7">
      <w:pPr>
        <w:rPr>
          <w:rFonts w:hint="eastAsia"/>
        </w:rPr>
      </w:pPr>
      <w:r w:rsidRPr="002E31C7">
        <w:rPr>
          <w:rFonts w:hint="eastAsia"/>
        </w:rPr>
        <w:t>各地要按照属地化原则，结合本地区实际制定预交金管理的实施细则，并于2025年3月31日前报国家卫生健康委、国家中医药局、国家疾控局。有特殊情况难以按时实施的医疗机构应向属地卫生健康（中医药、疾控）部门报告并明确执行时间。要进一步强化日常监督，确保公立医疗机构合理合规做好相关工作，维护患者合法权益。工作过程中如发现问题，要及时报告。</w:t>
      </w:r>
    </w:p>
    <w:p w14:paraId="3B96CFB8" w14:textId="77777777" w:rsidR="002E31C7" w:rsidRPr="002E31C7" w:rsidRDefault="002E31C7" w:rsidP="002E31C7">
      <w:pPr>
        <w:rPr>
          <w:rFonts w:hint="eastAsia"/>
        </w:rPr>
      </w:pPr>
      <w:r w:rsidRPr="002E31C7">
        <w:rPr>
          <w:rFonts w:hint="eastAsia"/>
        </w:rPr>
        <w:t>本通知适用于各级各类公立医疗机构、医保定点医疗机构和军队主办的医疗卫生机构，非公立医疗机构可参照执行。</w:t>
      </w:r>
    </w:p>
    <w:p w14:paraId="23AB9E30" w14:textId="77777777" w:rsidR="002E31C7" w:rsidRPr="002E31C7" w:rsidRDefault="002E31C7" w:rsidP="002E31C7">
      <w:pPr>
        <w:rPr>
          <w:rFonts w:hint="eastAsia"/>
        </w:rPr>
      </w:pPr>
      <w:r w:rsidRPr="002E31C7">
        <w:rPr>
          <w:rFonts w:hint="eastAsia"/>
        </w:rPr>
        <w:t> </w:t>
      </w:r>
    </w:p>
    <w:p w14:paraId="09E050D6" w14:textId="77777777" w:rsidR="002E31C7" w:rsidRPr="002E31C7" w:rsidRDefault="002E31C7" w:rsidP="002E31C7">
      <w:pPr>
        <w:rPr>
          <w:rFonts w:hint="eastAsia"/>
        </w:rPr>
      </w:pPr>
      <w:r w:rsidRPr="002E31C7">
        <w:rPr>
          <w:rFonts w:hint="eastAsia"/>
        </w:rPr>
        <w:t> </w:t>
      </w:r>
    </w:p>
    <w:p w14:paraId="7D89DA76" w14:textId="77777777" w:rsidR="002E31C7" w:rsidRPr="002E31C7" w:rsidRDefault="002E31C7" w:rsidP="002E31C7">
      <w:pPr>
        <w:jc w:val="right"/>
        <w:rPr>
          <w:rFonts w:hint="eastAsia"/>
        </w:rPr>
      </w:pPr>
      <w:r w:rsidRPr="002E31C7">
        <w:rPr>
          <w:rFonts w:hint="eastAsia"/>
        </w:rPr>
        <w:t>国家卫生健康委办公厅</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财政部办公厅</w:t>
      </w:r>
    </w:p>
    <w:p w14:paraId="2C8ECDF7" w14:textId="77777777" w:rsidR="002E31C7" w:rsidRPr="002E31C7" w:rsidRDefault="002E31C7" w:rsidP="002E31C7">
      <w:pPr>
        <w:jc w:val="right"/>
        <w:rPr>
          <w:rFonts w:hint="eastAsia"/>
        </w:rPr>
      </w:pPr>
      <w:r w:rsidRPr="002E31C7">
        <w:rPr>
          <w:rFonts w:hint="eastAsia"/>
        </w:rPr>
        <w:t>国家医保局办公室</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 </w:t>
      </w:r>
      <w:r w:rsidRPr="002E31C7">
        <w:rPr>
          <w:rFonts w:hint="eastAsia"/>
        </w:rPr>
        <w:t>国家中医药局综合司</w:t>
      </w:r>
    </w:p>
    <w:p w14:paraId="7D804230" w14:textId="77777777" w:rsidR="002E31C7" w:rsidRPr="002E31C7" w:rsidRDefault="002E31C7" w:rsidP="002E31C7">
      <w:pPr>
        <w:jc w:val="right"/>
        <w:rPr>
          <w:rFonts w:hint="eastAsia"/>
        </w:rPr>
      </w:pPr>
      <w:r w:rsidRPr="002E31C7">
        <w:rPr>
          <w:rFonts w:hint="eastAsia"/>
        </w:rPr>
        <w:t>国家疾控局综合司</w:t>
      </w:r>
      <w:r w:rsidRPr="002E31C7">
        <w:rPr>
          <w:rFonts w:hint="eastAsia"/>
        </w:rPr>
        <w:t> </w:t>
      </w:r>
      <w:r w:rsidRPr="002E31C7">
        <w:rPr>
          <w:rFonts w:hint="eastAsia"/>
        </w:rPr>
        <w:t> </w:t>
      </w:r>
      <w:r w:rsidRPr="002E31C7">
        <w:rPr>
          <w:rFonts w:hint="eastAsia"/>
        </w:rPr>
        <w:t>中央军委后勤保障部办公厅</w:t>
      </w:r>
    </w:p>
    <w:p w14:paraId="3C7813E3" w14:textId="77777777" w:rsidR="002E31C7" w:rsidRPr="002E31C7" w:rsidRDefault="002E31C7" w:rsidP="002E31C7">
      <w:pPr>
        <w:jc w:val="right"/>
        <w:rPr>
          <w:rFonts w:hint="eastAsia"/>
        </w:rPr>
      </w:pPr>
      <w:r w:rsidRPr="002E31C7">
        <w:rPr>
          <w:rFonts w:hint="eastAsia"/>
        </w:rPr>
        <w:t>2025年3月25日</w:t>
      </w:r>
    </w:p>
    <w:p w14:paraId="67F579D3" w14:textId="77777777" w:rsidR="00650F85" w:rsidRDefault="00650F85" w:rsidP="002E31C7">
      <w:pPr>
        <w:jc w:val="right"/>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C7"/>
    <w:rsid w:val="001A4F1C"/>
    <w:rsid w:val="002E31C7"/>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98B1"/>
  <w15:chartTrackingRefBased/>
  <w15:docId w15:val="{D99FC3FC-5A99-4F7B-8CD9-61D9BE59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2E3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1C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2E31C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1C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1C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E31C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1C7"/>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2E31C7"/>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2E31C7"/>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2E31C7"/>
    <w:rPr>
      <w:rFonts w:cstheme="majorBidi"/>
      <w:noProof/>
      <w:color w:val="2F5496" w:themeColor="accent1" w:themeShade="BF"/>
      <w:sz w:val="28"/>
      <w:szCs w:val="28"/>
    </w:rPr>
  </w:style>
  <w:style w:type="character" w:customStyle="1" w:styleId="50">
    <w:name w:val="标题 5 字符"/>
    <w:basedOn w:val="a0"/>
    <w:link w:val="5"/>
    <w:uiPriority w:val="9"/>
    <w:semiHidden/>
    <w:rsid w:val="002E31C7"/>
    <w:rPr>
      <w:rFonts w:cstheme="majorBidi"/>
      <w:noProof/>
      <w:color w:val="2F5496" w:themeColor="accent1" w:themeShade="BF"/>
      <w:sz w:val="24"/>
      <w:szCs w:val="24"/>
    </w:rPr>
  </w:style>
  <w:style w:type="character" w:customStyle="1" w:styleId="60">
    <w:name w:val="标题 6 字符"/>
    <w:basedOn w:val="a0"/>
    <w:link w:val="6"/>
    <w:uiPriority w:val="9"/>
    <w:semiHidden/>
    <w:rsid w:val="002E31C7"/>
    <w:rPr>
      <w:rFonts w:cstheme="majorBidi"/>
      <w:b/>
      <w:bCs/>
      <w:noProof/>
      <w:color w:val="2F5496" w:themeColor="accent1" w:themeShade="BF"/>
    </w:rPr>
  </w:style>
  <w:style w:type="character" w:customStyle="1" w:styleId="70">
    <w:name w:val="标题 7 字符"/>
    <w:basedOn w:val="a0"/>
    <w:link w:val="7"/>
    <w:uiPriority w:val="9"/>
    <w:semiHidden/>
    <w:rsid w:val="002E31C7"/>
    <w:rPr>
      <w:rFonts w:cstheme="majorBidi"/>
      <w:b/>
      <w:bCs/>
      <w:noProof/>
      <w:color w:val="595959" w:themeColor="text1" w:themeTint="A6"/>
    </w:rPr>
  </w:style>
  <w:style w:type="character" w:customStyle="1" w:styleId="80">
    <w:name w:val="标题 8 字符"/>
    <w:basedOn w:val="a0"/>
    <w:link w:val="8"/>
    <w:uiPriority w:val="9"/>
    <w:semiHidden/>
    <w:rsid w:val="002E31C7"/>
    <w:rPr>
      <w:rFonts w:cstheme="majorBidi"/>
      <w:noProof/>
      <w:color w:val="595959" w:themeColor="text1" w:themeTint="A6"/>
    </w:rPr>
  </w:style>
  <w:style w:type="character" w:customStyle="1" w:styleId="90">
    <w:name w:val="标题 9 字符"/>
    <w:basedOn w:val="a0"/>
    <w:link w:val="9"/>
    <w:uiPriority w:val="9"/>
    <w:semiHidden/>
    <w:rsid w:val="002E31C7"/>
    <w:rPr>
      <w:rFonts w:eastAsiaTheme="majorEastAsia" w:cstheme="majorBidi"/>
      <w:noProof/>
      <w:color w:val="595959" w:themeColor="text1" w:themeTint="A6"/>
    </w:rPr>
  </w:style>
  <w:style w:type="paragraph" w:styleId="a3">
    <w:name w:val="Title"/>
    <w:basedOn w:val="a"/>
    <w:next w:val="a"/>
    <w:link w:val="a4"/>
    <w:uiPriority w:val="10"/>
    <w:qFormat/>
    <w:rsid w:val="002E31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1C7"/>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2E31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1C7"/>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2E31C7"/>
    <w:pPr>
      <w:spacing w:before="160" w:after="160"/>
      <w:jc w:val="center"/>
    </w:pPr>
    <w:rPr>
      <w:i/>
      <w:iCs/>
      <w:color w:val="404040" w:themeColor="text1" w:themeTint="BF"/>
    </w:rPr>
  </w:style>
  <w:style w:type="character" w:customStyle="1" w:styleId="a8">
    <w:name w:val="引用 字符"/>
    <w:basedOn w:val="a0"/>
    <w:link w:val="a7"/>
    <w:uiPriority w:val="29"/>
    <w:rsid w:val="002E31C7"/>
    <w:rPr>
      <w:i/>
      <w:iCs/>
      <w:noProof/>
      <w:color w:val="404040" w:themeColor="text1" w:themeTint="BF"/>
    </w:rPr>
  </w:style>
  <w:style w:type="paragraph" w:styleId="a9">
    <w:name w:val="List Paragraph"/>
    <w:basedOn w:val="a"/>
    <w:uiPriority w:val="34"/>
    <w:qFormat/>
    <w:rsid w:val="002E31C7"/>
    <w:pPr>
      <w:ind w:left="720"/>
      <w:contextualSpacing/>
    </w:pPr>
  </w:style>
  <w:style w:type="character" w:styleId="aa">
    <w:name w:val="Intense Emphasis"/>
    <w:basedOn w:val="a0"/>
    <w:uiPriority w:val="21"/>
    <w:qFormat/>
    <w:rsid w:val="002E31C7"/>
    <w:rPr>
      <w:i/>
      <w:iCs/>
      <w:color w:val="2F5496" w:themeColor="accent1" w:themeShade="BF"/>
    </w:rPr>
  </w:style>
  <w:style w:type="paragraph" w:styleId="ab">
    <w:name w:val="Intense Quote"/>
    <w:basedOn w:val="a"/>
    <w:next w:val="a"/>
    <w:link w:val="ac"/>
    <w:uiPriority w:val="30"/>
    <w:qFormat/>
    <w:rsid w:val="002E3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1C7"/>
    <w:rPr>
      <w:i/>
      <w:iCs/>
      <w:noProof/>
      <w:color w:val="2F5496" w:themeColor="accent1" w:themeShade="BF"/>
    </w:rPr>
  </w:style>
  <w:style w:type="character" w:styleId="ad">
    <w:name w:val="Intense Reference"/>
    <w:basedOn w:val="a0"/>
    <w:uiPriority w:val="32"/>
    <w:qFormat/>
    <w:rsid w:val="002E3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75510">
      <w:bodyDiv w:val="1"/>
      <w:marLeft w:val="0"/>
      <w:marRight w:val="0"/>
      <w:marTop w:val="0"/>
      <w:marBottom w:val="0"/>
      <w:divBdr>
        <w:top w:val="none" w:sz="0" w:space="0" w:color="auto"/>
        <w:left w:val="none" w:sz="0" w:space="0" w:color="auto"/>
        <w:bottom w:val="none" w:sz="0" w:space="0" w:color="auto"/>
        <w:right w:val="none" w:sz="0" w:space="0" w:color="auto"/>
      </w:divBdr>
      <w:divsChild>
        <w:div w:id="1645893490">
          <w:marLeft w:val="0"/>
          <w:marRight w:val="0"/>
          <w:marTop w:val="270"/>
          <w:marBottom w:val="0"/>
          <w:divBdr>
            <w:top w:val="none" w:sz="0" w:space="0" w:color="auto"/>
            <w:left w:val="none" w:sz="0" w:space="0" w:color="auto"/>
            <w:bottom w:val="single" w:sz="6" w:space="0" w:color="E5E5E5"/>
            <w:right w:val="none" w:sz="0" w:space="0" w:color="auto"/>
          </w:divBdr>
          <w:divsChild>
            <w:div w:id="422800274">
              <w:marLeft w:val="0"/>
              <w:marRight w:val="0"/>
              <w:marTop w:val="0"/>
              <w:marBottom w:val="0"/>
              <w:divBdr>
                <w:top w:val="none" w:sz="0" w:space="0" w:color="auto"/>
                <w:left w:val="none" w:sz="0" w:space="0" w:color="auto"/>
                <w:bottom w:val="none" w:sz="0" w:space="0" w:color="auto"/>
                <w:right w:val="none" w:sz="0" w:space="0" w:color="auto"/>
              </w:divBdr>
            </w:div>
          </w:divsChild>
        </w:div>
        <w:div w:id="1159692054">
          <w:marLeft w:val="0"/>
          <w:marRight w:val="0"/>
          <w:marTop w:val="0"/>
          <w:marBottom w:val="0"/>
          <w:divBdr>
            <w:top w:val="none" w:sz="0" w:space="0" w:color="auto"/>
            <w:left w:val="none" w:sz="0" w:space="0" w:color="auto"/>
            <w:bottom w:val="none" w:sz="0" w:space="0" w:color="auto"/>
            <w:right w:val="none" w:sz="0" w:space="0" w:color="auto"/>
          </w:divBdr>
        </w:div>
      </w:divsChild>
    </w:div>
    <w:div w:id="1742869361">
      <w:bodyDiv w:val="1"/>
      <w:marLeft w:val="0"/>
      <w:marRight w:val="0"/>
      <w:marTop w:val="0"/>
      <w:marBottom w:val="0"/>
      <w:divBdr>
        <w:top w:val="none" w:sz="0" w:space="0" w:color="auto"/>
        <w:left w:val="none" w:sz="0" w:space="0" w:color="auto"/>
        <w:bottom w:val="none" w:sz="0" w:space="0" w:color="auto"/>
        <w:right w:val="none" w:sz="0" w:space="0" w:color="auto"/>
      </w:divBdr>
      <w:divsChild>
        <w:div w:id="1180194663">
          <w:marLeft w:val="0"/>
          <w:marRight w:val="0"/>
          <w:marTop w:val="270"/>
          <w:marBottom w:val="0"/>
          <w:divBdr>
            <w:top w:val="none" w:sz="0" w:space="0" w:color="auto"/>
            <w:left w:val="none" w:sz="0" w:space="0" w:color="auto"/>
            <w:bottom w:val="single" w:sz="6" w:space="0" w:color="E5E5E5"/>
            <w:right w:val="none" w:sz="0" w:space="0" w:color="auto"/>
          </w:divBdr>
          <w:divsChild>
            <w:div w:id="1150369611">
              <w:marLeft w:val="0"/>
              <w:marRight w:val="0"/>
              <w:marTop w:val="0"/>
              <w:marBottom w:val="0"/>
              <w:divBdr>
                <w:top w:val="none" w:sz="0" w:space="0" w:color="auto"/>
                <w:left w:val="none" w:sz="0" w:space="0" w:color="auto"/>
                <w:bottom w:val="none" w:sz="0" w:space="0" w:color="auto"/>
                <w:right w:val="none" w:sz="0" w:space="0" w:color="auto"/>
              </w:divBdr>
            </w:div>
          </w:divsChild>
        </w:div>
        <w:div w:id="63256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2025-03-31T06:09:00Z</dcterms:created>
  <dcterms:modified xsi:type="dcterms:W3CDTF">2025-03-31T06:10:00Z</dcterms:modified>
</cp:coreProperties>
</file>