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936812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0"/>
        <w:jc w:val="center"/>
        <w:rPr>
          <w:rFonts w:hint="default" w:ascii="Times New Roman" w:hAnsi="Times New Roman" w:cs="Times New Roman"/>
          <w:i w:val="0"/>
          <w:iCs w:val="0"/>
          <w:caps w:val="0"/>
          <w:color w:val="1966A7"/>
          <w:spacing w:val="0"/>
          <w:sz w:val="36"/>
          <w:szCs w:val="36"/>
          <w:u w:val="none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color w:val="1966A7"/>
          <w:spacing w:val="0"/>
          <w:kern w:val="0"/>
          <w:sz w:val="36"/>
          <w:szCs w:val="36"/>
          <w:u w:val="none"/>
          <w:bdr w:val="none" w:color="auto" w:sz="0" w:space="0"/>
          <w:lang w:val="en-US" w:eastAsia="zh-CN" w:bidi="ar"/>
        </w:rPr>
        <w:t>国家卫生健康委办公厅关于印发非新生儿破伤风诊疗规范（2024年版）的通知</w:t>
      </w:r>
    </w:p>
    <w:p w14:paraId="233567C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E5E5E5" w:sz="6" w:space="0"/>
          <w:right w:val="none" w:color="auto" w:sz="0" w:space="0"/>
        </w:pBdr>
        <w:spacing w:before="0" w:beforeAutospacing="0" w:after="0" w:afterAutospacing="0"/>
        <w:ind w:left="0" w:right="0" w:firstLine="0"/>
        <w:jc w:val="center"/>
        <w:rPr>
          <w:rFonts w:hint="default" w:ascii="Times New Roman" w:hAnsi="Times New Roman" w:cs="Times New Roman"/>
          <w:i w:val="0"/>
          <w:iCs w:val="0"/>
          <w:caps w:val="0"/>
          <w:color w:val="484848"/>
          <w:spacing w:val="0"/>
          <w:sz w:val="15"/>
          <w:szCs w:val="15"/>
          <w:u w:val="none"/>
        </w:rPr>
      </w:pPr>
      <w:bookmarkStart w:id="0" w:name="_GoBack"/>
      <w:bookmarkEnd w:id="0"/>
    </w:p>
    <w:p w14:paraId="6E4BDCEC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E5E5E5" w:sz="6" w:space="0"/>
          <w:right w:val="none" w:color="auto" w:sz="0" w:space="0"/>
        </w:pBdr>
        <w:spacing w:before="270" w:beforeAutospacing="0" w:after="0" w:afterAutospacing="0"/>
        <w:ind w:left="0" w:right="0" w:firstLine="0"/>
        <w:jc w:val="center"/>
        <w:rPr>
          <w:rFonts w:hint="default" w:ascii="Times New Roman" w:hAnsi="Times New Roman" w:cs="Times New Roman"/>
          <w:i w:val="0"/>
          <w:iCs w:val="0"/>
          <w:caps w:val="0"/>
          <w:color w:val="484848"/>
          <w:spacing w:val="0"/>
          <w:sz w:val="15"/>
          <w:szCs w:val="15"/>
          <w:u w:val="none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979797"/>
          <w:spacing w:val="0"/>
          <w:kern w:val="0"/>
          <w:sz w:val="18"/>
          <w:szCs w:val="18"/>
          <w:u w:val="none"/>
          <w:bdr w:val="none" w:color="auto" w:sz="0" w:space="0"/>
          <w:lang w:val="en-US" w:eastAsia="zh-CN" w:bidi="ar"/>
        </w:rPr>
        <w:t>发布时间： 2024-10-22 来源: 医疗应急司</w:t>
      </w:r>
    </w:p>
    <w:p w14:paraId="58E9035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3" w:lineRule="atLeast"/>
        <w:ind w:left="0" w:right="0" w:firstLine="420"/>
        <w:jc w:val="right"/>
        <w:rPr>
          <w:rFonts w:ascii="仿宋" w:hAnsi="仿宋" w:eastAsia="仿宋" w:cs="仿宋"/>
          <w:color w:val="484848"/>
          <w:sz w:val="32"/>
          <w:szCs w:val="32"/>
          <w:u w:val="none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t> 国卫办医急函〔2024〕381号</w:t>
      </w:r>
    </w:p>
    <w:p w14:paraId="292441C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3" w:lineRule="atLeast"/>
        <w:ind w:left="0" w:right="0" w:firstLine="420"/>
        <w:jc w:val="both"/>
        <w:rPr>
          <w:rFonts w:hint="eastAsia" w:ascii="仿宋" w:hAnsi="仿宋" w:eastAsia="仿宋" w:cs="仿宋"/>
          <w:color w:val="484848"/>
          <w:sz w:val="32"/>
          <w:szCs w:val="32"/>
          <w:u w:val="none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t> </w:t>
      </w:r>
    </w:p>
    <w:p w14:paraId="574931F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3" w:lineRule="atLeast"/>
        <w:ind w:left="0" w:right="0" w:firstLine="0"/>
        <w:jc w:val="both"/>
        <w:rPr>
          <w:rFonts w:hint="eastAsia" w:ascii="仿宋" w:hAnsi="仿宋" w:eastAsia="仿宋" w:cs="仿宋"/>
          <w:color w:val="484848"/>
          <w:sz w:val="32"/>
          <w:szCs w:val="32"/>
          <w:u w:val="none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t>各省、自治区、直辖市及新疆生产建设兵团卫生健康委：</w:t>
      </w:r>
    </w:p>
    <w:p w14:paraId="426BDD2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3" w:lineRule="atLeast"/>
        <w:ind w:left="0" w:right="0" w:firstLine="420"/>
        <w:jc w:val="both"/>
        <w:rPr>
          <w:rFonts w:hint="eastAsia" w:ascii="仿宋" w:hAnsi="仿宋" w:eastAsia="仿宋" w:cs="仿宋"/>
          <w:color w:val="484848"/>
          <w:sz w:val="32"/>
          <w:szCs w:val="32"/>
          <w:u w:val="none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t>为进一步规范非新生儿破伤风诊疗行为，保证非新生儿破伤风诊疗工作的科学性、规范性和有效性，我委组织专家对《非新生儿破伤风诊疗规范（2019年版）》相关内容进行修订，形成了《非新生儿破伤风诊疗规范（2024年版）》。现印发给你们，请各地卫生健康行政部门做好组织实施工作。</w:t>
      </w:r>
    </w:p>
    <w:p w14:paraId="0479CE5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3" w:lineRule="atLeast"/>
        <w:ind w:left="0" w:right="0" w:firstLine="420"/>
        <w:jc w:val="both"/>
        <w:rPr>
          <w:rFonts w:hint="eastAsia" w:ascii="仿宋" w:hAnsi="仿宋" w:eastAsia="仿宋" w:cs="仿宋"/>
          <w:color w:val="484848"/>
          <w:sz w:val="32"/>
          <w:szCs w:val="32"/>
          <w:u w:val="none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t> </w:t>
      </w:r>
    </w:p>
    <w:p w14:paraId="2C1FBB0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3" w:lineRule="atLeast"/>
        <w:ind w:left="0" w:right="0" w:firstLine="420"/>
        <w:jc w:val="both"/>
        <w:rPr>
          <w:rFonts w:hint="eastAsia" w:ascii="仿宋" w:hAnsi="仿宋" w:eastAsia="仿宋" w:cs="仿宋"/>
          <w:color w:val="484848"/>
          <w:sz w:val="32"/>
          <w:szCs w:val="32"/>
          <w:u w:val="none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t>附件：</w:t>
      </w: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drawing>
          <wp:inline distT="0" distB="0" distL="114300" distR="114300">
            <wp:extent cx="152400" cy="152400"/>
            <wp:effectExtent l="0" t="0" r="0" b="0"/>
            <wp:docPr id="3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" descr="IMG_25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fldChar w:fldCharType="begin"/>
      </w: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instrText xml:space="preserve"> HYPERLINK "http://www.nhc.gov.cn/ylyjs/s7659/202410/ebc3f17213f7447cb8bd8b4821289483/files/c65f6656b7334fa3b52acbc544bb1850.pdf" \t "http://www.nhc.gov.cn/ylyjs/s7659/202410/_blank" </w:instrText>
      </w: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fldChar w:fldCharType="separate"/>
      </w:r>
      <w:r>
        <w:rPr>
          <w:rStyle w:val="5"/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t>非新生儿破伤风诊疗规范（2024年版）</w:t>
      </w: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fldChar w:fldCharType="end"/>
      </w:r>
    </w:p>
    <w:p w14:paraId="73B1953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3" w:lineRule="atLeast"/>
        <w:ind w:left="0" w:right="0" w:firstLine="420"/>
        <w:jc w:val="both"/>
        <w:rPr>
          <w:rFonts w:hint="eastAsia" w:ascii="仿宋" w:hAnsi="仿宋" w:eastAsia="仿宋" w:cs="仿宋"/>
          <w:color w:val="484848"/>
          <w:sz w:val="32"/>
          <w:szCs w:val="32"/>
          <w:u w:val="none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t> </w:t>
      </w:r>
    </w:p>
    <w:p w14:paraId="1421901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3" w:lineRule="atLeast"/>
        <w:ind w:left="0" w:right="0" w:firstLine="420"/>
        <w:jc w:val="right"/>
        <w:rPr>
          <w:rFonts w:hint="eastAsia" w:ascii="仿宋" w:hAnsi="仿宋" w:eastAsia="仿宋" w:cs="仿宋"/>
          <w:color w:val="484848"/>
          <w:sz w:val="32"/>
          <w:szCs w:val="32"/>
          <w:u w:val="none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t>国家卫生健康委办公厅</w:t>
      </w:r>
    </w:p>
    <w:p w14:paraId="5189A2B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3" w:lineRule="atLeast"/>
        <w:ind w:left="0" w:right="0" w:firstLine="420"/>
        <w:jc w:val="right"/>
        <w:rPr>
          <w:rFonts w:hint="eastAsia" w:ascii="仿宋" w:hAnsi="仿宋" w:eastAsia="仿宋" w:cs="仿宋"/>
          <w:color w:val="484848"/>
          <w:sz w:val="32"/>
          <w:szCs w:val="32"/>
          <w:u w:val="none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t>2024年10月11日</w:t>
      </w:r>
    </w:p>
    <w:p w14:paraId="6AD2685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3" w:lineRule="atLeast"/>
        <w:ind w:left="0" w:right="0" w:firstLine="420"/>
        <w:jc w:val="right"/>
        <w:rPr>
          <w:rFonts w:hint="eastAsia" w:ascii="仿宋" w:hAnsi="仿宋" w:eastAsia="仿宋" w:cs="仿宋"/>
          <w:color w:val="484848"/>
          <w:sz w:val="32"/>
          <w:szCs w:val="32"/>
          <w:u w:val="none"/>
        </w:rPr>
      </w:pPr>
    </w:p>
    <w:p w14:paraId="425350B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3" w:lineRule="atLeast"/>
        <w:ind w:left="0" w:right="0" w:firstLine="420"/>
        <w:jc w:val="both"/>
        <w:rPr>
          <w:rFonts w:hint="eastAsia" w:ascii="仿宋" w:hAnsi="仿宋" w:eastAsia="仿宋" w:cs="仿宋"/>
          <w:color w:val="484848"/>
          <w:sz w:val="32"/>
          <w:szCs w:val="32"/>
          <w:u w:val="none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t>（信息公开形式：主动公开） </w:t>
      </w:r>
    </w:p>
    <w:p w14:paraId="05797A5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3" w:lineRule="atLeast"/>
        <w:ind w:left="0" w:right="0" w:firstLine="420"/>
        <w:jc w:val="both"/>
        <w:rPr>
          <w:rFonts w:hint="eastAsia" w:ascii="仿宋" w:hAnsi="仿宋" w:eastAsia="仿宋" w:cs="仿宋"/>
          <w:color w:val="484848"/>
          <w:sz w:val="32"/>
          <w:szCs w:val="32"/>
          <w:u w:val="none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t> </w:t>
      </w:r>
    </w:p>
    <w:p w14:paraId="3D12AF3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3" w:lineRule="atLeast"/>
        <w:ind w:left="0" w:right="0" w:firstLine="420"/>
        <w:jc w:val="both"/>
      </w:pP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t>相关链接：</w:t>
      </w: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fldChar w:fldCharType="begin"/>
      </w: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instrText xml:space="preserve"> HYPERLINK "http://www.nhc.gov.cn/ylyjs/s3594/202410/69b330c223924d6b9a95c4d0026de573.shtml" </w:instrText>
      </w: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fldChar w:fldCharType="separate"/>
      </w:r>
      <w:r>
        <w:rPr>
          <w:rStyle w:val="5"/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t>《关于印发非新生儿破伤风诊疗规范（2024年版）的通知》解读</w:t>
      </w:r>
      <w:r>
        <w:rPr>
          <w:rFonts w:hint="eastAsia" w:ascii="仿宋" w:hAnsi="仿宋" w:eastAsia="仿宋" w:cs="仿宋"/>
          <w:i w:val="0"/>
          <w:iCs w:val="0"/>
          <w:caps w:val="0"/>
          <w:color w:val="484848"/>
          <w:spacing w:val="0"/>
          <w:sz w:val="32"/>
          <w:szCs w:val="32"/>
          <w:u w:val="none"/>
          <w:bdr w:val="none" w:color="auto" w:sz="0" w:space="0"/>
        </w:rPr>
        <w:fldChar w:fldCharType="end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g5Nzg1OGNmNTZlYzY5YTkyNzY4OTliMGE3ZTc5OGYifQ=="/>
  </w:docVars>
  <w:rsids>
    <w:rsidRoot w:val="6C5904FD"/>
    <w:rsid w:val="6C590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GIF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2024-10-28T04:39:00Z</dcterms:created>
  <dc:creator>wies</dc:creator>
  <cp:lastModifiedBy>wies</cp:lastModifiedBy>
  <dcterms:modified xsi:type="dcterms:W3CDTF">2024-10-28T04:40:10Z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A008E78D98CF48C19DCC0A64AEC231F8_11</vt:lpwstr>
  </property>
</Properties>
</file>