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CD1C" w14:textId="77777777" w:rsidR="008C40ED" w:rsidRPr="008C40ED" w:rsidRDefault="008C40ED" w:rsidP="008C40ED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8C40ED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中药保护品种公告(第15号)(2024年 第19号)</w:t>
      </w:r>
    </w:p>
    <w:p w14:paraId="12938D0B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根据《中药品种保护条例》规定，国家药品监督管理局批准浙江佐力药业股份有限公司生产的</w:t>
      </w:r>
      <w:proofErr w:type="gramStart"/>
      <w:r>
        <w:rPr>
          <w:rFonts w:ascii="微软雅黑" w:eastAsia="微软雅黑" w:hAnsi="微软雅黑" w:hint="eastAsia"/>
          <w:color w:val="000000"/>
        </w:rPr>
        <w:t>灵泽片</w:t>
      </w:r>
      <w:proofErr w:type="gramEnd"/>
      <w:r>
        <w:rPr>
          <w:rFonts w:ascii="微软雅黑" w:eastAsia="微软雅黑" w:hAnsi="微软雅黑" w:hint="eastAsia"/>
          <w:color w:val="000000"/>
        </w:rPr>
        <w:t>为首家中药二级保护品种，保护品种编号为：ZYB2072024002，保护期限自公告日起七年。</w:t>
      </w:r>
    </w:p>
    <w:p w14:paraId="41969039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特此公告。</w:t>
      </w:r>
    </w:p>
    <w:p w14:paraId="4827C182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</w:p>
    <w:p w14:paraId="38377A29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</w:p>
    <w:p w14:paraId="435639E1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</w:p>
    <w:p w14:paraId="5DF75569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               国家药监局</w:t>
      </w:r>
    </w:p>
    <w:p w14:paraId="749493D4" w14:textId="77777777" w:rsidR="008C40ED" w:rsidRDefault="008C40ED" w:rsidP="008C40ED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             2024年3月1日</w:t>
      </w:r>
    </w:p>
    <w:p w14:paraId="4B9DC04E" w14:textId="77777777" w:rsidR="00650F85" w:rsidRPr="008C40ED" w:rsidRDefault="00650F85"/>
    <w:sectPr w:rsidR="00650F85" w:rsidRPr="008C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ED"/>
    <w:rsid w:val="00650F85"/>
    <w:rsid w:val="008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035B"/>
  <w15:chartTrackingRefBased/>
  <w15:docId w15:val="{945384A1-394E-4F04-BE06-91797D3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C40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C40E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4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2024-03-27T08:03:00Z</dcterms:created>
  <dcterms:modified xsi:type="dcterms:W3CDTF">2024-03-27T08:04:00Z</dcterms:modified>
</cp:coreProperties>
</file>