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C71818"/>
          <w:spacing w:val="0"/>
          <w:sz w:val="39"/>
          <w:szCs w:val="39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71818"/>
          <w:spacing w:val="0"/>
          <w:kern w:val="0"/>
          <w:sz w:val="39"/>
          <w:szCs w:val="39"/>
          <w:bdr w:val="none" w:color="auto" w:sz="0" w:space="0"/>
          <w:shd w:val="clear" w:fill="FFFFFF"/>
          <w:lang w:val="en-US" w:eastAsia="zh-CN" w:bidi="ar"/>
        </w:rPr>
        <w:t>广东省药品监督管理局关于发布《广东省中药饮片炮制规范》（第二册）的通告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left="0" w:right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9F9F9"/>
        </w:rPr>
        <w:t>广东省药品监督管理局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left="0" w:right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9F9F9"/>
        </w:rPr>
        <w:t>通   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left="0" w:right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9F9F9"/>
        </w:rPr>
        <w:t>2023年 第84号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9F9F9"/>
        </w:rPr>
        <w:t>　　为进一步完善中药饮片炮制管理，提高中药饮片质量控制水平，根据《中华人民共和国药品管理法》等相关规定，广东省药品监督管理局已完成《广东省中药饮片炮制规范》（第二册）共计82个品种中药饮片炮制标准的审核，现予发布，自2024年2月7日起执行。自执行之日起，原收载于历版广东省中药材炮制规范的同品种药品标准同时废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9F9F9"/>
        </w:rPr>
        <w:t>　　各有关单位在《广东省中药饮片炮制规范》（第二册）执行过程中发现的问题，请及时向广东省药品检验所反馈，并提供广东省药品监督管理局。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9F9F9"/>
        </w:rPr>
        <w:t>　　特此通告。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9F9F9"/>
        </w:rPr>
        <w:t>　　附件：《广东省中药饮片炮制规范》（第二册）品名目次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left="0" w:right="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9F9F9"/>
        </w:rPr>
        <w:t>　　广东省药品监督管理局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left="0" w:right="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9F9F9"/>
        </w:rPr>
        <w:t>　　2023年11月7日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4ZmFlNjYxZWE3YjM5ZjAxNDM5OGRkNTFkZjUwNTYifQ=="/>
  </w:docVars>
  <w:rsids>
    <w:rsidRoot w:val="0A667903"/>
    <w:rsid w:val="0A6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2023-12-01T03:32:00Z</dcterms:created>
  <dc:creator>京师珠海品宣部</dc:creator>
  <cp:lastModifiedBy>京师珠海品宣部</cp:lastModifiedBy>
  <dcterms:modified xsi:type="dcterms:W3CDTF">2023-12-01T03:32:13Z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3777C0DB2F11430DBAB29B2B80D5368E_11</vt:lpwstr>
  </property>
</Properties>
</file>