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E6E6E6" w:sz="4" w:space="0"/>
          <w:left w:val="single" w:color="E6E6E6" w:sz="4" w:space="0"/>
          <w:bottom w:val="single" w:color="E6E6E6" w:sz="4" w:space="0"/>
          <w:right w:val="single" w:color="E6E6E6" w:sz="4" w:space="0"/>
        </w:pBdr>
        <w:spacing w:before="0" w:beforeAutospacing="0" w:after="0" w:afterAutospacing="0" w:line="3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966A7"/>
          <w:spacing w:val="0"/>
          <w:sz w:val="24"/>
          <w:szCs w:val="24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1966A7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关于公布第二批罕见病目录的通知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4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10"/>
          <w:szCs w:val="10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12"/>
          <w:szCs w:val="12"/>
          <w:u w:val="none"/>
          <w:bdr w:val="none" w:color="auto" w:sz="0" w:space="0"/>
        </w:rPr>
        <w:drawing>
          <wp:inline distT="0" distB="0" distL="114300" distR="114300">
            <wp:extent cx="228600" cy="228600"/>
            <wp:effectExtent l="0" t="0" r="0" b="0"/>
            <wp:docPr id="5" name="图片 4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12"/>
          <w:szCs w:val="12"/>
          <w:u w:val="none"/>
          <w:bdr w:val="none" w:color="auto" w:sz="0" w:space="0"/>
        </w:rPr>
        <w:drawing>
          <wp:inline distT="0" distB="0" distL="114300" distR="114300">
            <wp:extent cx="228600" cy="228600"/>
            <wp:effectExtent l="0" t="0" r="0" b="0"/>
            <wp:docPr id="9" name="图片 5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12"/>
          <w:szCs w:val="12"/>
          <w:u w:val="none"/>
          <w:bdr w:val="none" w:color="auto" w:sz="0" w:space="0"/>
        </w:rPr>
        <w:drawing>
          <wp:inline distT="0" distB="0" distL="114300" distR="114300">
            <wp:extent cx="219075" cy="228600"/>
            <wp:effectExtent l="0" t="0" r="9525" b="0"/>
            <wp:docPr id="1" name="图片 6" descr="IMG_25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E6E6E6" w:sz="4" w:space="0"/>
          <w:left w:val="single" w:color="E6E6E6" w:sz="4" w:space="0"/>
          <w:bottom w:val="single" w:color="E5E5E5" w:sz="4" w:space="0"/>
          <w:right w:val="single" w:color="E6E6E6" w:sz="4" w:space="0"/>
        </w:pBdr>
        <w:spacing w:before="1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10"/>
          <w:szCs w:val="10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79797"/>
          <w:spacing w:val="0"/>
          <w:kern w:val="0"/>
          <w:sz w:val="12"/>
          <w:szCs w:val="12"/>
          <w:u w:val="none"/>
          <w:bdr w:val="none" w:color="auto" w:sz="0" w:space="0"/>
          <w:lang w:val="en-US" w:eastAsia="zh-CN" w:bidi="ar"/>
        </w:rPr>
        <w:t>发布时间： 2023-09-20 来源: 医政司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/>
        <w:jc w:val="center"/>
        <w:rPr>
          <w:rFonts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国卫医政发〔2023〕26号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各省、自治区、直辖市及新疆生产建设兵团卫生健康委、科技厅（委、局）、工业和信息化主管部门、药品监督管理部门、中医药主管部门，军队各级卫生部门：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为深入贯彻落实中共中央办公厅、国务院办公厅《关于深化审评审批制度改革鼓励药品医疗器械创新的意见》，进一步加强我国罕见病管理，提高罕见病诊疗水平，维护罕见病患者健康权益，根据《罕见病目录制订工作程序》，国家卫生健康委等6部门联合制定了《第二批罕见病目录》。现印发给你们，供各部门在工作中参考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instrText xml:space="preserve"> HYPERLINK "http://www.nhc.gov.cn/yzygj/s7659/202309/19941f5eb0994615b34273bc27bf360d/files/5f47df3e440e412ca8a93d1edb17f4a1.doc" \t "http://www.nhc.gov.cn/yzygj/s7659/202309/_blank"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第二批罕见病目录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国家卫生健康委 科技部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工业和信息化部 国家药监局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国家中医药局 中央军委后勤保障部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2023年9月18日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50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（信息公开形式：主动公开）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zFkOTdiNTVjYzI0NWVlNWQwMmIwM2FjMDYwNmEifQ=="/>
  </w:docVars>
  <w:rsids>
    <w:rsidRoot w:val="00000000"/>
    <w:rsid w:val="205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jpeg"/><Relationship Id="rId7" Type="http://schemas.openxmlformats.org/officeDocument/2006/relationships/hyperlink" Target="javascript:window.print()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nhc.gov.cn/yzygj/s7659/202309/19941f5eb0994615b34273bc27bf360d.shtml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2023-09-25T03:10:49Z</dcterms:created>
  <dc:creator>钟月滢</dc:creator>
  <cp:lastModifiedBy>京师Lawyer-钟</cp:lastModifiedBy>
  <dcterms:modified xsi:type="dcterms:W3CDTF">2023-09-25T03:11:14Z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2103F0E876ED4FC0BA95EBE29068813A_13</vt:lpwstr>
  </property>
</Properties>
</file>