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附件1</w:t>
      </w:r>
      <w:bookmarkStart w:id="0" w:name="_GoBack"/>
      <w:bookmarkEnd w:id="0"/>
    </w:p>
    <w:p>
      <w:pPr>
        <w:pStyle w:val="6"/>
        <w:widowControl/>
        <w:spacing w:before="0" w:beforeAutospacing="0" w:after="0" w:afterAutospacing="0" w:line="600" w:lineRule="exact"/>
        <w:jc w:val="center"/>
        <w:rPr>
          <w:rFonts w:hint="eastAsia" w:asciiTheme="majorEastAsia" w:hAnsiTheme="majorEastAsia" w:eastAsiaTheme="majorEastAsia" w:cstheme="majorEastAsia"/>
          <w:sz w:val="32"/>
          <w:szCs w:val="32"/>
        </w:rPr>
      </w:pPr>
    </w:p>
    <w:p>
      <w:pPr>
        <w:pStyle w:val="6"/>
        <w:widowControl/>
        <w:spacing w:before="0" w:beforeAutospacing="0" w:after="0" w:afterAutospacing="0" w:line="600" w:lineRule="exact"/>
        <w:jc w:val="center"/>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《药品检查管理办法（试行）》修订条款</w:t>
      </w:r>
    </w:p>
    <w:p>
      <w:pPr>
        <w:pStyle w:val="6"/>
        <w:widowControl/>
        <w:spacing w:before="0" w:beforeAutospacing="0" w:after="0" w:afterAutospacing="0" w:line="600" w:lineRule="exact"/>
        <w:jc w:val="center"/>
        <w:rPr>
          <w:rFonts w:hint="eastAsia" w:asciiTheme="majorEastAsia" w:hAnsiTheme="majorEastAsia" w:eastAsiaTheme="majorEastAsia" w:cstheme="majorEastAsia"/>
          <w:sz w:val="32"/>
          <w:szCs w:val="32"/>
        </w:rPr>
      </w:pPr>
    </w:p>
    <w:p>
      <w:pPr>
        <w:pStyle w:val="6"/>
        <w:numPr>
          <w:ilvl w:val="0"/>
          <w:numId w:val="1"/>
        </w:numPr>
        <w:spacing w:before="0" w:beforeAutospacing="0" w:after="0" w:afterAutospacing="0" w:line="620" w:lineRule="exact"/>
        <w:ind w:firstLine="640" w:firstLineChars="200"/>
        <w:jc w:val="both"/>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将第十五条第二款修改为：“检查组在现场检查过程中，需要当场开展固定相关证据等行为时，检查组中执法人员不足2名的，应当由负责该被检查单位监管工作的药品监督管理部门派出2名以上执法人员负责相关工作。”</w:t>
      </w:r>
    </w:p>
    <w:p>
      <w:pPr>
        <w:pStyle w:val="6"/>
        <w:numPr>
          <w:ilvl w:val="0"/>
          <w:numId w:val="1"/>
        </w:numPr>
        <w:spacing w:before="0" w:beforeAutospacing="0" w:after="0" w:afterAutospacing="0" w:line="620" w:lineRule="exact"/>
        <w:ind w:firstLine="640" w:firstLineChars="200"/>
        <w:jc w:val="both"/>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将第十六条修改为：“派出检查单位在实施检查前，应当根据检查任务制定检查方案。制定方案时应当结合被检查单位既往接受检查情况，生产企业的生产场地情况、剂型品种特点及生产工艺等情况，经营企业的经营范围、经营规模、经营方式等情况，明确检查事项、时间和检查方式等。必要时，参加检查的检查员应当参与检查方案的制定。检查员应当提前熟悉检查资料等内容。”</w:t>
      </w:r>
    </w:p>
    <w:p>
      <w:pPr>
        <w:pStyle w:val="6"/>
        <w:numPr>
          <w:ilvl w:val="0"/>
          <w:numId w:val="1"/>
        </w:numPr>
        <w:spacing w:before="0" w:beforeAutospacing="0" w:after="0" w:afterAutospacing="0" w:line="620" w:lineRule="exact"/>
        <w:ind w:firstLine="640" w:firstLineChars="200"/>
        <w:jc w:val="both"/>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将第二十六条修改为：“现场检查结论分为符合要求、待整改后评定、不符合要求。综合评定结论分为符合要求、不符合要求。”</w:t>
      </w:r>
    </w:p>
    <w:p>
      <w:pPr>
        <w:pStyle w:val="6"/>
        <w:numPr>
          <w:ilvl w:val="0"/>
          <w:numId w:val="1"/>
        </w:numPr>
        <w:spacing w:before="0" w:beforeAutospacing="0" w:after="0" w:afterAutospacing="0" w:line="620" w:lineRule="exact"/>
        <w:ind w:firstLine="640" w:firstLineChars="200"/>
        <w:jc w:val="both"/>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将第二十七条修改为：“药品生产企业现场检查结论的评定标准：</w:t>
      </w:r>
    </w:p>
    <w:p>
      <w:pPr>
        <w:adjustRightInd w:val="0"/>
        <w:snapToGrid w:val="0"/>
        <w:spacing w:line="620" w:lineRule="exact"/>
        <w:ind w:firstLine="640" w:firstLineChars="200"/>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“（一）未发现缺陷或者缺陷质量安全风险轻微、质量管理体系比较健全的，检查结论为符合要求。</w:t>
      </w:r>
    </w:p>
    <w:p>
      <w:pPr>
        <w:adjustRightInd w:val="0"/>
        <w:snapToGrid w:val="0"/>
        <w:spacing w:line="620" w:lineRule="exact"/>
        <w:ind w:firstLine="640" w:firstLineChars="200"/>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“（二）发现缺陷有一定质量安全风险，但质量管理体系基本健全，检查结论为待整改后评定，包含但不限于以下情形：</w:t>
      </w:r>
    </w:p>
    <w:p>
      <w:pPr>
        <w:adjustRightInd w:val="0"/>
        <w:snapToGrid w:val="0"/>
        <w:spacing w:line="620" w:lineRule="exact"/>
        <w:ind w:firstLine="640" w:firstLineChars="200"/>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“1.与《药品生产质量管理规范》（以下简称GMP）要求有偏离，可能给产品质量带来一定风险；</w:t>
      </w:r>
    </w:p>
    <w:p>
      <w:pPr>
        <w:adjustRightInd w:val="0"/>
        <w:snapToGrid w:val="0"/>
        <w:spacing w:line="620" w:lineRule="exact"/>
        <w:ind w:firstLine="640" w:firstLineChars="200"/>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“2.发现主要缺陷或者多项关联一般缺陷，经综合分析表明质量管理体系中某一系统不完善。</w:t>
      </w:r>
    </w:p>
    <w:p>
      <w:pPr>
        <w:adjustRightInd w:val="0"/>
        <w:snapToGrid w:val="0"/>
        <w:spacing w:line="620" w:lineRule="exact"/>
        <w:ind w:firstLine="640" w:firstLineChars="200"/>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“（三）发现缺陷为严重质量安全风险，质量体系不能有效运行，检查结论为不符合要求，包含但不限于以下情形：</w:t>
      </w:r>
    </w:p>
    <w:p>
      <w:pPr>
        <w:adjustRightInd w:val="0"/>
        <w:snapToGrid w:val="0"/>
        <w:spacing w:line="620" w:lineRule="exact"/>
        <w:ind w:firstLine="640" w:firstLineChars="200"/>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“1.对使用者造成危害或者存在健康风险；</w:t>
      </w:r>
    </w:p>
    <w:p>
      <w:pPr>
        <w:adjustRightInd w:val="0"/>
        <w:snapToGrid w:val="0"/>
        <w:spacing w:line="620" w:lineRule="exact"/>
        <w:ind w:firstLine="640" w:firstLineChars="200"/>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“2.与GMP要求有严重偏离，给产品质量带来严重风险；</w:t>
      </w:r>
    </w:p>
    <w:p>
      <w:pPr>
        <w:adjustRightInd w:val="0"/>
        <w:snapToGrid w:val="0"/>
        <w:spacing w:line="620" w:lineRule="exact"/>
        <w:ind w:firstLine="640" w:firstLineChars="200"/>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“3.有编造生产、检验记录，药品生产过程控制、质量控制的记录和数据不真实；</w:t>
      </w:r>
    </w:p>
    <w:p>
      <w:pPr>
        <w:adjustRightInd w:val="0"/>
        <w:snapToGrid w:val="0"/>
        <w:spacing w:line="620" w:lineRule="exact"/>
        <w:ind w:firstLine="640" w:firstLineChars="200"/>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“4.发现严重缺陷或者多项关联主要缺陷，经综合分析表明质量管理体系中某一系统不能有效运行。”</w:t>
      </w:r>
    </w:p>
    <w:p>
      <w:pPr>
        <w:pStyle w:val="6"/>
        <w:numPr>
          <w:ilvl w:val="0"/>
          <w:numId w:val="1"/>
        </w:numPr>
        <w:spacing w:before="0" w:beforeAutospacing="0" w:after="0" w:afterAutospacing="0" w:line="620" w:lineRule="exact"/>
        <w:ind w:firstLine="640" w:firstLineChars="200"/>
        <w:jc w:val="both"/>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将第二十八条修改为：“药品经营企业现场检查结论的评定标准：</w:t>
      </w:r>
    </w:p>
    <w:p>
      <w:pPr>
        <w:pStyle w:val="6"/>
        <w:spacing w:before="0" w:beforeAutospacing="0" w:after="0" w:afterAutospacing="0" w:line="620" w:lineRule="exact"/>
        <w:ind w:firstLine="640" w:firstLineChars="200"/>
        <w:jc w:val="both"/>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“（一）未发现缺陷或者缺陷质量安全风险轻微、质量管理体系比较健全的，检查结论为符合要求。</w:t>
      </w:r>
    </w:p>
    <w:p>
      <w:pPr>
        <w:pStyle w:val="6"/>
        <w:spacing w:before="0" w:beforeAutospacing="0" w:after="0" w:afterAutospacing="0" w:line="620" w:lineRule="exact"/>
        <w:ind w:firstLine="640" w:firstLineChars="200"/>
        <w:jc w:val="both"/>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“（二）发现一般缺陷、主要缺陷有一定质量安全风险，但质量管理体系基本健全，检查结论为待整改后评定，包含但不限于以下情形：</w:t>
      </w:r>
    </w:p>
    <w:p>
      <w:pPr>
        <w:pStyle w:val="6"/>
        <w:spacing w:before="0" w:beforeAutospacing="0" w:after="0" w:afterAutospacing="0" w:line="620" w:lineRule="exact"/>
        <w:ind w:firstLine="640" w:firstLineChars="200"/>
        <w:jc w:val="both"/>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“1.与《药品经营质量管理规范》（以下简称GSP）有偏离，会引发低等级质量安全风险，但不影响药品质量的行为；</w:t>
      </w:r>
    </w:p>
    <w:p>
      <w:pPr>
        <w:pStyle w:val="6"/>
        <w:spacing w:before="0" w:beforeAutospacing="0" w:after="0" w:afterAutospacing="0" w:line="620" w:lineRule="exact"/>
        <w:ind w:firstLine="640" w:firstLineChars="200"/>
        <w:jc w:val="both"/>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“2.计算机系统、质量管理体系文件不完善，结合实际经综合分析判定只对药品质量管理体系运行产生一般影响。</w:t>
      </w:r>
    </w:p>
    <w:p>
      <w:pPr>
        <w:pStyle w:val="6"/>
        <w:spacing w:before="0" w:beforeAutospacing="0" w:after="0" w:afterAutospacing="0" w:line="620" w:lineRule="exact"/>
        <w:ind w:firstLine="640" w:firstLineChars="200"/>
        <w:jc w:val="both"/>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“（三）发现严重缺陷，或者发现的主要缺陷和一般缺陷涉及企业质量管理体系运行，可能引发较严重质量安全风险，检查结论为不符合要求，包含但不限于以下情形：</w:t>
      </w:r>
    </w:p>
    <w:p>
      <w:pPr>
        <w:spacing w:line="620" w:lineRule="exact"/>
        <w:ind w:firstLine="640" w:firstLineChars="200"/>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“1.储存、运输过程中存在对药品质量产生严重影响的行为；</w:t>
      </w:r>
    </w:p>
    <w:p>
      <w:pPr>
        <w:spacing w:line="620" w:lineRule="exact"/>
        <w:ind w:firstLine="640" w:firstLineChars="200"/>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“2.企业记录经营活动的数据不真实，经营活动过程不可核查；</w:t>
      </w:r>
    </w:p>
    <w:p>
      <w:pPr>
        <w:spacing w:line="620" w:lineRule="exact"/>
        <w:ind w:firstLine="640" w:firstLineChars="200"/>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“3.发现多项关联主要缺陷，分析表明质量管理体系不能有效运行。”</w:t>
      </w:r>
    </w:p>
    <w:p>
      <w:pPr>
        <w:pStyle w:val="6"/>
        <w:spacing w:before="0" w:beforeAutospacing="0" w:after="0" w:afterAutospacing="0" w:line="620" w:lineRule="exact"/>
        <w:ind w:firstLine="640" w:firstLineChars="200"/>
        <w:jc w:val="both"/>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六、增加一条，作为第二十九条：“综合评定结论的评定标准：</w:t>
      </w:r>
    </w:p>
    <w:p>
      <w:pPr>
        <w:pStyle w:val="6"/>
        <w:spacing w:before="0" w:beforeAutospacing="0" w:after="0" w:afterAutospacing="0" w:line="620" w:lineRule="exact"/>
        <w:ind w:firstLine="640" w:firstLineChars="200"/>
        <w:jc w:val="both"/>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“（一）未发现缺陷或者缺陷质量安全风险轻微、质量管理体系比较健全的，或者发现缺陷有一定质量安全风险经整改可以有效控制风险且质量管理体系能够有效运行的，评定结论为符合要求。</w:t>
      </w:r>
    </w:p>
    <w:p>
      <w:pPr>
        <w:pStyle w:val="6"/>
        <w:spacing w:before="0" w:beforeAutospacing="0" w:after="0" w:afterAutospacing="0" w:line="620" w:lineRule="exact"/>
        <w:ind w:firstLine="640" w:firstLineChars="200"/>
        <w:jc w:val="both"/>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“（二）发现缺陷有严重质量安全风险，质量管理体系不能有效运行的，评定结论为不符合要求。</w:t>
      </w:r>
    </w:p>
    <w:p>
      <w:pPr>
        <w:spacing w:line="620" w:lineRule="exact"/>
        <w:ind w:firstLine="640" w:firstLineChars="200"/>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“发现缺陷有一定质量安全风险经整改仍未有效控制风险，或者质量管理体系仍不能有效运行的，评定结论为不符合要求。”</w:t>
      </w:r>
    </w:p>
    <w:p>
      <w:pPr>
        <w:pStyle w:val="6"/>
        <w:spacing w:before="0" w:beforeAutospacing="0" w:after="0" w:afterAutospacing="0" w:line="620" w:lineRule="exact"/>
        <w:ind w:firstLine="640" w:firstLineChars="200"/>
        <w:jc w:val="both"/>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七、将第二十九条改为第三十条，并修改为：“派出检查单位应当自收到现场检查报告后15个工作日内审核现场检查报告，并形成审核意见。必要时派出检查单位可对缺陷项目和检查结论进行重新调整和认定，并及时将调整后的缺陷项目书面提供给被检查单位。</w:t>
      </w:r>
    </w:p>
    <w:p>
      <w:pPr>
        <w:spacing w:line="620" w:lineRule="exact"/>
        <w:ind w:firstLine="640" w:firstLineChars="200"/>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现场检查结论审核后为待整改后评定的，派出检查单位应当自收到整改报告后20个工作日内，形成综合评定结论，出具《药品检查综合评定报告书》，并报送药品监督管理部门。根据整改报告审核情况，必要时派出检查单位可进行现场复核或者要求被检查单位补充提交整改材料，相关时间不计入工作时限。</w:t>
      </w:r>
    </w:p>
    <w:p>
      <w:pPr>
        <w:pStyle w:val="6"/>
        <w:spacing w:before="0" w:beforeAutospacing="0" w:after="0" w:afterAutospacing="0" w:line="620" w:lineRule="exact"/>
        <w:ind w:firstLine="640" w:firstLineChars="200"/>
        <w:jc w:val="both"/>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“现场检查结论审核后为符合要求或者不符合要求的，派出检查单位应当自结论认定之日起10个工作日内，形成综合评定结论，出具《药品检查综合评定报告书》，并报送药品监督管理部门。</w:t>
      </w:r>
    </w:p>
    <w:p>
      <w:pPr>
        <w:spacing w:line="620" w:lineRule="exact"/>
        <w:ind w:firstLine="640" w:firstLineChars="200"/>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“药品监督管理部门应当及时将综合评定结论告知被检查单位。”</w:t>
      </w:r>
    </w:p>
    <w:p>
      <w:pPr>
        <w:pStyle w:val="6"/>
        <w:numPr>
          <w:ilvl w:val="0"/>
          <w:numId w:val="2"/>
        </w:numPr>
        <w:spacing w:before="0" w:beforeAutospacing="0" w:after="0" w:afterAutospacing="0" w:line="620" w:lineRule="exact"/>
        <w:ind w:firstLine="640" w:firstLineChars="200"/>
        <w:jc w:val="both"/>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将第三十二条改为第三十三条，并将第一款修改为：“现场检查结束后，被检查单位应当针对缺陷项目进行整改，于30个工作日内向派出检查单位提交整改报告；缺陷项目经派出检查单位审核后作出调整重新发放的，整改时限可延长10个工作日；无法按期完成整改的，应当制定切实可行的整改计划，整改完成后，应当补充提交相应的整改报告。被检查单位在整改期间应当主动结合发现的缺陷和风险，采取必要的风险控制措施。”</w:t>
      </w:r>
    </w:p>
    <w:p>
      <w:pPr>
        <w:pStyle w:val="6"/>
        <w:numPr>
          <w:ilvl w:val="0"/>
          <w:numId w:val="2"/>
        </w:numPr>
        <w:spacing w:before="0" w:beforeAutospacing="0" w:after="0" w:afterAutospacing="0" w:line="620" w:lineRule="exact"/>
        <w:ind w:firstLine="640" w:firstLineChars="200"/>
        <w:jc w:val="both"/>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删去第三十五条、第三十九条。</w:t>
      </w:r>
    </w:p>
    <w:p>
      <w:pPr>
        <w:pStyle w:val="6"/>
        <w:numPr>
          <w:ilvl w:val="0"/>
          <w:numId w:val="2"/>
        </w:numPr>
        <w:spacing w:before="0" w:beforeAutospacing="0" w:after="0" w:afterAutospacing="0" w:line="620" w:lineRule="exact"/>
        <w:ind w:firstLine="640" w:firstLineChars="200"/>
        <w:jc w:val="both"/>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将第六十二条改为第六十一条，并修改为：“</w:t>
      </w:r>
      <w:r>
        <w:rPr>
          <w:rFonts w:hint="eastAsia" w:asciiTheme="majorEastAsia" w:hAnsiTheme="majorEastAsia" w:eastAsiaTheme="majorEastAsia" w:cstheme="majorEastAsia"/>
          <w:sz w:val="32"/>
          <w:szCs w:val="32"/>
          <w:lang w:val="zh-TW" w:eastAsia="zh-TW"/>
        </w:rPr>
        <w:t>药品监督管理部门根据《药品检查综合评定报告书》及相关证据材料，作出相应处理。</w:t>
      </w:r>
    </w:p>
    <w:p>
      <w:pPr>
        <w:pStyle w:val="6"/>
        <w:spacing w:before="0" w:beforeAutospacing="0" w:after="0" w:afterAutospacing="0" w:line="620" w:lineRule="exact"/>
        <w:ind w:firstLine="640" w:firstLineChars="200"/>
        <w:jc w:val="both"/>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“现场检查时发现缺陷有一定质量风险，经整改后综合评定结论为符合要求的，药品监督管理部门必要时依据风险采取告诫、约谈等风险控制措施。</w:t>
      </w:r>
    </w:p>
    <w:p>
      <w:pPr>
        <w:pStyle w:val="6"/>
        <w:spacing w:before="0" w:beforeAutospacing="0" w:after="0" w:afterAutospacing="0" w:line="620" w:lineRule="exact"/>
        <w:ind w:firstLine="640" w:firstLineChars="200"/>
        <w:jc w:val="both"/>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综合评定结论为不符合要求的，药品监督管理部门应当依法采取暂停生产、销售、使用、进口等风险控制措施，消除安全隐患。除首次申请相关许可证的情形外，药品监督管理部门应当按照《中华人民共和国药品管理法》第一百二十六条等相关规定进行处理。</w:t>
      </w:r>
    </w:p>
    <w:p>
      <w:pPr>
        <w:pStyle w:val="6"/>
        <w:spacing w:before="0" w:beforeAutospacing="0" w:after="0" w:afterAutospacing="0" w:line="620" w:lineRule="exact"/>
        <w:ind w:firstLine="640" w:firstLineChars="200"/>
        <w:jc w:val="both"/>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32"/>
          <w:szCs w:val="32"/>
        </w:rPr>
        <w:t>“</w:t>
      </w:r>
      <w:r>
        <w:rPr>
          <w:rFonts w:hint="eastAsia" w:asciiTheme="majorEastAsia" w:hAnsiTheme="majorEastAsia" w:eastAsiaTheme="majorEastAsia" w:cstheme="majorEastAsia"/>
          <w:sz w:val="32"/>
          <w:szCs w:val="32"/>
          <w:lang w:val="zh-TW"/>
        </w:rPr>
        <w:t>药品监督管理部门应当将现场检查报告、整改报告、《药品检查综合评定报告书》及相关证据材料、风险控制措施相关资料等进行整理归档保存。</w:t>
      </w:r>
      <w:r>
        <w:rPr>
          <w:rFonts w:hint="eastAsia" w:asciiTheme="majorEastAsia" w:hAnsiTheme="majorEastAsia" w:eastAsiaTheme="majorEastAsia" w:cstheme="majorEastAsia"/>
          <w:sz w:val="32"/>
          <w:szCs w:val="32"/>
        </w:rPr>
        <w:t xml:space="preserve">” </w:t>
      </w:r>
    </w:p>
    <w:sectPr>
      <w:footerReference r:id="rId3" w:type="default"/>
      <w:footerReference r:id="rId4" w:type="even"/>
      <w:pgSz w:w="11906" w:h="16838"/>
      <w:pgMar w:top="1928" w:right="1531" w:bottom="1814" w:left="1531" w:header="851" w:footer="136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067435" cy="230505"/>
              <wp:effectExtent l="2540" t="0" r="0" b="0"/>
              <wp:wrapNone/>
              <wp:docPr id="1" name="文本框 3"/>
              <wp:cNvGraphicFramePr/>
              <a:graphic xmlns:a="http://schemas.openxmlformats.org/drawingml/2006/main">
                <a:graphicData uri="http://schemas.microsoft.com/office/word/2010/wordprocessingShape">
                  <wps:wsp>
                    <wps:cNvSpPr txBox="1">
                      <a:spLocks noChangeArrowheads="1"/>
                    </wps:cNvSpPr>
                    <wps:spPr bwMode="auto">
                      <a:xfrm>
                        <a:off x="0" y="0"/>
                        <a:ext cx="1067435" cy="230505"/>
                      </a:xfrm>
                      <a:prstGeom prst="rect">
                        <a:avLst/>
                      </a:prstGeom>
                      <a:noFill/>
                      <a:ln>
                        <a:noFill/>
                      </a:ln>
                    </wps:spPr>
                    <wps:txbx>
                      <w:txbxContent>
                        <w:p>
                          <w:pPr>
                            <w:pStyle w:val="4"/>
                            <w:rPr>
                              <w:sz w:val="28"/>
                              <w:szCs w:val="28"/>
                            </w:rPr>
                          </w:pPr>
                          <w:r>
                            <w:rPr>
                              <w:rFonts w:hint="eastAsia"/>
                              <w:color w:val="FFFFFF"/>
                              <w:sz w:val="28"/>
                              <w:szCs w:val="28"/>
                            </w:rPr>
                            <w:t>—</w:t>
                          </w: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rFonts w:hint="eastAsia"/>
                              <w:sz w:val="28"/>
                              <w:szCs w:val="28"/>
                            </w:rPr>
                            <w:t xml:space="preserve"> —</w:t>
                          </w:r>
                          <w:r>
                            <w:rPr>
                              <w:rFonts w:hint="eastAsia"/>
                              <w:color w:val="FFFFFF"/>
                              <w:sz w:val="28"/>
                              <w:szCs w:val="28"/>
                            </w:rPr>
                            <w:t>—</w:t>
                          </w:r>
                        </w:p>
                      </w:txbxContent>
                    </wps:txbx>
                    <wps:bodyPr rot="0" vert="horz" wrap="none" lIns="0" tIns="0" rIns="0" bIns="0" anchor="t" anchorCtr="0" upright="1">
                      <a:spAutoFit/>
                    </wps:bodyPr>
                  </wps:wsp>
                </a:graphicData>
              </a:graphic>
            </wp:anchor>
          </w:drawing>
        </mc:Choice>
        <mc:Fallback>
          <w:pict>
            <v:shape id="文本框 3" o:spid="_x0000_s1026" o:spt="202" type="#_x0000_t202" style="position:absolute;left:0pt;margin-top:0pt;height:18.15pt;width:84.05pt;mso-position-horizontal:outside;mso-position-horizontal-relative:margin;mso-wrap-style:none;z-index:251659264;mso-width-relative:page;mso-height-relative:page;" filled="f" stroked="f" coordsize="21600,21600" o:gfxdata="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WSo3O0QAAAAQBAAAPAAAAAAAAAAEAIAAAACIAAABkcnMv&#10;ZG93bnJldi54bWxQSwECFAAUAAAACACHTuJA2O6u7QoCAAADBAAADgAAAAAAAAABACAAAAAgAQAA&#10;ZHJzL2Uyb0RvYy54bWxQSwUGAAAAAAYABgBZAQAAnAUAAAAA&#10;">
              <v:fill on="f" focussize="0,0"/>
              <v:stroke on="f"/>
              <v:imagedata o:title=""/>
              <o:lock v:ext="edit" aspectratio="f"/>
              <v:textbox inset="0mm,0mm,0mm,0mm" style="mso-fit-shape-to-text:t;">
                <w:txbxContent>
                  <w:p>
                    <w:pPr>
                      <w:pStyle w:val="4"/>
                      <w:rPr>
                        <w:sz w:val="28"/>
                        <w:szCs w:val="28"/>
                      </w:rPr>
                    </w:pPr>
                    <w:r>
                      <w:rPr>
                        <w:rFonts w:hint="eastAsia"/>
                        <w:color w:val="FFFFFF"/>
                        <w:sz w:val="28"/>
                        <w:szCs w:val="28"/>
                      </w:rPr>
                      <w:t>—</w:t>
                    </w: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rFonts w:hint="eastAsia"/>
                        <w:sz w:val="28"/>
                        <w:szCs w:val="28"/>
                      </w:rPr>
                      <w:t xml:space="preserve"> —</w:t>
                    </w:r>
                    <w:r>
                      <w:rPr>
                        <w:rFonts w:hint="eastAsia"/>
                        <w:color w:val="FFFFFF"/>
                        <w:sz w:val="28"/>
                        <w:szCs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067435" cy="230505"/>
              <wp:effectExtent l="1270" t="0" r="0" b="0"/>
              <wp:wrapNone/>
              <wp:docPr id="2" name="文本框 4"/>
              <wp:cNvGraphicFramePr/>
              <a:graphic xmlns:a="http://schemas.openxmlformats.org/drawingml/2006/main">
                <a:graphicData uri="http://schemas.microsoft.com/office/word/2010/wordprocessingShape">
                  <wps:wsp>
                    <wps:cNvSpPr txBox="1">
                      <a:spLocks noChangeArrowheads="1"/>
                    </wps:cNvSpPr>
                    <wps:spPr bwMode="auto">
                      <a:xfrm>
                        <a:off x="0" y="0"/>
                        <a:ext cx="1067435" cy="230505"/>
                      </a:xfrm>
                      <a:prstGeom prst="rect">
                        <a:avLst/>
                      </a:prstGeom>
                      <a:noFill/>
                      <a:ln>
                        <a:noFill/>
                      </a:ln>
                    </wps:spPr>
                    <wps:txbx>
                      <w:txbxContent>
                        <w:p>
                          <w:pPr>
                            <w:pStyle w:val="4"/>
                            <w:rPr>
                              <w:sz w:val="28"/>
                              <w:szCs w:val="28"/>
                            </w:rPr>
                          </w:pPr>
                          <w:r>
                            <w:rPr>
                              <w:rFonts w:hint="eastAsia"/>
                              <w:color w:val="FFFFFF"/>
                              <w:sz w:val="28"/>
                              <w:szCs w:val="28"/>
                            </w:rPr>
                            <w:t>—</w:t>
                          </w: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r>
                            <w:rPr>
                              <w:rFonts w:hint="eastAsia"/>
                              <w:sz w:val="28"/>
                              <w:szCs w:val="28"/>
                            </w:rPr>
                            <w:t xml:space="preserve"> —</w:t>
                          </w:r>
                          <w:r>
                            <w:rPr>
                              <w:rFonts w:hint="eastAsia"/>
                              <w:color w:val="FFFFFF"/>
                              <w:sz w:val="28"/>
                              <w:szCs w:val="28"/>
                            </w:rPr>
                            <w:t>—</w:t>
                          </w:r>
                        </w:p>
                      </w:txbxContent>
                    </wps:txbx>
                    <wps:bodyPr rot="0" vert="horz" wrap="none" lIns="0" tIns="0" rIns="0" bIns="0" anchor="t" anchorCtr="0" upright="1">
                      <a:spAutoFit/>
                    </wps:bodyPr>
                  </wps:wsp>
                </a:graphicData>
              </a:graphic>
            </wp:anchor>
          </w:drawing>
        </mc:Choice>
        <mc:Fallback>
          <w:pict>
            <v:shape id="文本框 4" o:spid="_x0000_s1026" o:spt="202" type="#_x0000_t202" style="position:absolute;left:0pt;margin-top:0pt;height:18.15pt;width:84.05pt;mso-position-horizontal:outside;mso-position-horizontal-relative:margin;mso-wrap-style:none;z-index:251660288;mso-width-relative:page;mso-height-relative:page;" filled="f" stroked="f" coordsize="21600,21600" o:gfxdata="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FkqNztEAAAAEAQAADwAAAAAAAAABACAAAAAiAAAAZHJz&#10;L2Rvd25yZXYueG1sUEsBAhQAFAAAAAgAh07iQMqTamkLAgAAAwQAAA4AAAAAAAAAAQAgAAAAIAEA&#10;AGRycy9lMm9Eb2MueG1sUEsFBgAAAAAGAAYAWQEAAJ0FAAAAAA==&#10;">
              <v:fill on="f" focussize="0,0"/>
              <v:stroke on="f"/>
              <v:imagedata o:title=""/>
              <o:lock v:ext="edit" aspectratio="f"/>
              <v:textbox inset="0mm,0mm,0mm,0mm" style="mso-fit-shape-to-text:t;">
                <w:txbxContent>
                  <w:p>
                    <w:pPr>
                      <w:pStyle w:val="4"/>
                      <w:rPr>
                        <w:sz w:val="28"/>
                        <w:szCs w:val="28"/>
                      </w:rPr>
                    </w:pPr>
                    <w:r>
                      <w:rPr>
                        <w:rFonts w:hint="eastAsia"/>
                        <w:color w:val="FFFFFF"/>
                        <w:sz w:val="28"/>
                        <w:szCs w:val="28"/>
                      </w:rPr>
                      <w:t>—</w:t>
                    </w: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r>
                      <w:rPr>
                        <w:rFonts w:hint="eastAsia"/>
                        <w:sz w:val="28"/>
                        <w:szCs w:val="28"/>
                      </w:rPr>
                      <w:t xml:space="preserve"> —</w:t>
                    </w:r>
                    <w:r>
                      <w:rPr>
                        <w:rFonts w:hint="eastAsia"/>
                        <w:color w:val="FFFFFF"/>
                        <w:sz w:val="28"/>
                        <w:szCs w:val="28"/>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D7F957"/>
    <w:multiLevelType w:val="singleLevel"/>
    <w:tmpl w:val="AAD7F957"/>
    <w:lvl w:ilvl="0" w:tentative="0">
      <w:start w:val="1"/>
      <w:numFmt w:val="chineseCounting"/>
      <w:suff w:val="nothing"/>
      <w:lvlText w:val="%1、"/>
      <w:lvlJc w:val="left"/>
      <w:rPr>
        <w:rFonts w:hint="eastAsia"/>
      </w:rPr>
    </w:lvl>
  </w:abstractNum>
  <w:abstractNum w:abstractNumId="1">
    <w:nsid w:val="B97EA43D"/>
    <w:multiLevelType w:val="singleLevel"/>
    <w:tmpl w:val="B97EA43D"/>
    <w:lvl w:ilvl="0" w:tentative="0">
      <w:start w:val="8"/>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evenAndOddHeaders w:val="1"/>
  <w:drawingGridHorizontalSpacing w:val="109"/>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dhYzFkOTdiNTVjYzI0NWVlNWQwMmIwM2FjMDYwNmEifQ=="/>
  </w:docVars>
  <w:rsids>
    <w:rsidRoot w:val="00FA60C8"/>
    <w:rsid w:val="00001DC0"/>
    <w:rsid w:val="00004BD1"/>
    <w:rsid w:val="00006D86"/>
    <w:rsid w:val="000109FE"/>
    <w:rsid w:val="00030022"/>
    <w:rsid w:val="000335DF"/>
    <w:rsid w:val="00035161"/>
    <w:rsid w:val="0003704E"/>
    <w:rsid w:val="000574F7"/>
    <w:rsid w:val="00061DFE"/>
    <w:rsid w:val="00071507"/>
    <w:rsid w:val="00074D97"/>
    <w:rsid w:val="00076D87"/>
    <w:rsid w:val="0009428B"/>
    <w:rsid w:val="000A2989"/>
    <w:rsid w:val="000A4464"/>
    <w:rsid w:val="000A4FAD"/>
    <w:rsid w:val="000B4396"/>
    <w:rsid w:val="000C1841"/>
    <w:rsid w:val="00101F08"/>
    <w:rsid w:val="00104873"/>
    <w:rsid w:val="00143BFB"/>
    <w:rsid w:val="001666C7"/>
    <w:rsid w:val="00171D86"/>
    <w:rsid w:val="001723F7"/>
    <w:rsid w:val="001754B2"/>
    <w:rsid w:val="00175EF6"/>
    <w:rsid w:val="00185599"/>
    <w:rsid w:val="001A0347"/>
    <w:rsid w:val="001C6B7D"/>
    <w:rsid w:val="00203EBB"/>
    <w:rsid w:val="00221B4C"/>
    <w:rsid w:val="0024221B"/>
    <w:rsid w:val="00261AD8"/>
    <w:rsid w:val="00266D2D"/>
    <w:rsid w:val="00283CBF"/>
    <w:rsid w:val="002A354F"/>
    <w:rsid w:val="002B035C"/>
    <w:rsid w:val="002B3253"/>
    <w:rsid w:val="002D5818"/>
    <w:rsid w:val="002E3B72"/>
    <w:rsid w:val="002E4226"/>
    <w:rsid w:val="002F2CC3"/>
    <w:rsid w:val="00300C24"/>
    <w:rsid w:val="003063A8"/>
    <w:rsid w:val="00316973"/>
    <w:rsid w:val="00317CA7"/>
    <w:rsid w:val="00333067"/>
    <w:rsid w:val="003412EF"/>
    <w:rsid w:val="00343B0E"/>
    <w:rsid w:val="003465C3"/>
    <w:rsid w:val="0035031B"/>
    <w:rsid w:val="00361D76"/>
    <w:rsid w:val="0036326B"/>
    <w:rsid w:val="00365874"/>
    <w:rsid w:val="00381E57"/>
    <w:rsid w:val="0039075A"/>
    <w:rsid w:val="003937F0"/>
    <w:rsid w:val="0039703E"/>
    <w:rsid w:val="003F5153"/>
    <w:rsid w:val="00400BB6"/>
    <w:rsid w:val="00402F67"/>
    <w:rsid w:val="00406655"/>
    <w:rsid w:val="00443ED4"/>
    <w:rsid w:val="0045249E"/>
    <w:rsid w:val="00453B18"/>
    <w:rsid w:val="00454EAC"/>
    <w:rsid w:val="004603D5"/>
    <w:rsid w:val="00466921"/>
    <w:rsid w:val="0047111D"/>
    <w:rsid w:val="00472F36"/>
    <w:rsid w:val="004F27D3"/>
    <w:rsid w:val="00502F15"/>
    <w:rsid w:val="00512C2E"/>
    <w:rsid w:val="00520E66"/>
    <w:rsid w:val="00536B78"/>
    <w:rsid w:val="00545CDB"/>
    <w:rsid w:val="0056150E"/>
    <w:rsid w:val="00561EF0"/>
    <w:rsid w:val="0056587F"/>
    <w:rsid w:val="0056661D"/>
    <w:rsid w:val="00576640"/>
    <w:rsid w:val="00577325"/>
    <w:rsid w:val="005832B5"/>
    <w:rsid w:val="00585E0D"/>
    <w:rsid w:val="00593C49"/>
    <w:rsid w:val="005A66E9"/>
    <w:rsid w:val="005C0329"/>
    <w:rsid w:val="005C172C"/>
    <w:rsid w:val="005C1E9F"/>
    <w:rsid w:val="005D344A"/>
    <w:rsid w:val="005D50C9"/>
    <w:rsid w:val="005D7D24"/>
    <w:rsid w:val="005E3E9D"/>
    <w:rsid w:val="005E7595"/>
    <w:rsid w:val="005F3698"/>
    <w:rsid w:val="00620134"/>
    <w:rsid w:val="00627D9D"/>
    <w:rsid w:val="00632B3B"/>
    <w:rsid w:val="0064664B"/>
    <w:rsid w:val="00652EEE"/>
    <w:rsid w:val="00660670"/>
    <w:rsid w:val="0067409E"/>
    <w:rsid w:val="00683227"/>
    <w:rsid w:val="00694CA5"/>
    <w:rsid w:val="006A2E3D"/>
    <w:rsid w:val="006C20D6"/>
    <w:rsid w:val="006E0A51"/>
    <w:rsid w:val="006F7A06"/>
    <w:rsid w:val="007045D9"/>
    <w:rsid w:val="00704786"/>
    <w:rsid w:val="007129C4"/>
    <w:rsid w:val="00724899"/>
    <w:rsid w:val="00727597"/>
    <w:rsid w:val="00754F98"/>
    <w:rsid w:val="00766D9A"/>
    <w:rsid w:val="007A3E48"/>
    <w:rsid w:val="007C3B60"/>
    <w:rsid w:val="007C77DD"/>
    <w:rsid w:val="007C7949"/>
    <w:rsid w:val="00810BF8"/>
    <w:rsid w:val="00834B83"/>
    <w:rsid w:val="00843985"/>
    <w:rsid w:val="0086624F"/>
    <w:rsid w:val="00871284"/>
    <w:rsid w:val="0087177C"/>
    <w:rsid w:val="0087484E"/>
    <w:rsid w:val="00874A57"/>
    <w:rsid w:val="00881440"/>
    <w:rsid w:val="008B7435"/>
    <w:rsid w:val="008C461A"/>
    <w:rsid w:val="008D69AA"/>
    <w:rsid w:val="008E2E1C"/>
    <w:rsid w:val="008E4C76"/>
    <w:rsid w:val="008E7729"/>
    <w:rsid w:val="00902736"/>
    <w:rsid w:val="00903996"/>
    <w:rsid w:val="00910D69"/>
    <w:rsid w:val="00913503"/>
    <w:rsid w:val="00926229"/>
    <w:rsid w:val="00935839"/>
    <w:rsid w:val="00944679"/>
    <w:rsid w:val="00953CE3"/>
    <w:rsid w:val="0097437D"/>
    <w:rsid w:val="009A22E6"/>
    <w:rsid w:val="009A2520"/>
    <w:rsid w:val="009A2DB4"/>
    <w:rsid w:val="009A4453"/>
    <w:rsid w:val="009B6E32"/>
    <w:rsid w:val="009C0415"/>
    <w:rsid w:val="009D1D6B"/>
    <w:rsid w:val="009F7B56"/>
    <w:rsid w:val="00A01B9C"/>
    <w:rsid w:val="00A04C8E"/>
    <w:rsid w:val="00A1573D"/>
    <w:rsid w:val="00A33460"/>
    <w:rsid w:val="00A344DA"/>
    <w:rsid w:val="00A412EC"/>
    <w:rsid w:val="00A60F9E"/>
    <w:rsid w:val="00A6456B"/>
    <w:rsid w:val="00A646C6"/>
    <w:rsid w:val="00A703C1"/>
    <w:rsid w:val="00A87CF5"/>
    <w:rsid w:val="00A9276E"/>
    <w:rsid w:val="00AA1DD0"/>
    <w:rsid w:val="00AA5D6B"/>
    <w:rsid w:val="00B027D5"/>
    <w:rsid w:val="00B306AC"/>
    <w:rsid w:val="00B51F1D"/>
    <w:rsid w:val="00B5790B"/>
    <w:rsid w:val="00B7175F"/>
    <w:rsid w:val="00B92DE4"/>
    <w:rsid w:val="00B978E2"/>
    <w:rsid w:val="00BA76F9"/>
    <w:rsid w:val="00BB33A4"/>
    <w:rsid w:val="00BC5211"/>
    <w:rsid w:val="00BE381C"/>
    <w:rsid w:val="00BF0CAE"/>
    <w:rsid w:val="00BF3902"/>
    <w:rsid w:val="00C0026F"/>
    <w:rsid w:val="00C04F7F"/>
    <w:rsid w:val="00C334E0"/>
    <w:rsid w:val="00C542E4"/>
    <w:rsid w:val="00C65C49"/>
    <w:rsid w:val="00C72DDC"/>
    <w:rsid w:val="00C73E63"/>
    <w:rsid w:val="00C766DD"/>
    <w:rsid w:val="00C85A3C"/>
    <w:rsid w:val="00CB042A"/>
    <w:rsid w:val="00CB2F44"/>
    <w:rsid w:val="00CB79BE"/>
    <w:rsid w:val="00CE7EE6"/>
    <w:rsid w:val="00CF61DC"/>
    <w:rsid w:val="00D1160E"/>
    <w:rsid w:val="00D1401C"/>
    <w:rsid w:val="00D1561F"/>
    <w:rsid w:val="00D16D6D"/>
    <w:rsid w:val="00D27F0A"/>
    <w:rsid w:val="00D330E7"/>
    <w:rsid w:val="00D367D7"/>
    <w:rsid w:val="00D404B1"/>
    <w:rsid w:val="00D63096"/>
    <w:rsid w:val="00D669CB"/>
    <w:rsid w:val="00D76928"/>
    <w:rsid w:val="00D91F9F"/>
    <w:rsid w:val="00DD3744"/>
    <w:rsid w:val="00DE7F37"/>
    <w:rsid w:val="00E035B9"/>
    <w:rsid w:val="00E05A99"/>
    <w:rsid w:val="00E25F5E"/>
    <w:rsid w:val="00E352DB"/>
    <w:rsid w:val="00E71E16"/>
    <w:rsid w:val="00E75376"/>
    <w:rsid w:val="00EA11DA"/>
    <w:rsid w:val="00EA2ACC"/>
    <w:rsid w:val="00EB16E3"/>
    <w:rsid w:val="00EE420F"/>
    <w:rsid w:val="00EF0F48"/>
    <w:rsid w:val="00EF6714"/>
    <w:rsid w:val="00F32236"/>
    <w:rsid w:val="00F41AD8"/>
    <w:rsid w:val="00F42D26"/>
    <w:rsid w:val="00F5495A"/>
    <w:rsid w:val="00F64776"/>
    <w:rsid w:val="00F70CB3"/>
    <w:rsid w:val="00F81A04"/>
    <w:rsid w:val="00F8709A"/>
    <w:rsid w:val="00F94606"/>
    <w:rsid w:val="00FA1F2D"/>
    <w:rsid w:val="00FA60C8"/>
    <w:rsid w:val="00FC1DD1"/>
    <w:rsid w:val="00FD08E1"/>
    <w:rsid w:val="00FD443E"/>
    <w:rsid w:val="00FE3321"/>
    <w:rsid w:val="00FE7AE7"/>
    <w:rsid w:val="00FF2072"/>
    <w:rsid w:val="07D7260F"/>
    <w:rsid w:val="16C573A9"/>
    <w:rsid w:val="1AF0DF6B"/>
    <w:rsid w:val="1CDF3531"/>
    <w:rsid w:val="236B7FDA"/>
    <w:rsid w:val="2A82A4E8"/>
    <w:rsid w:val="2BFD7607"/>
    <w:rsid w:val="2FEA2721"/>
    <w:rsid w:val="39EA7EE5"/>
    <w:rsid w:val="3CEE5216"/>
    <w:rsid w:val="3F7F943C"/>
    <w:rsid w:val="3FC79FF0"/>
    <w:rsid w:val="3FCB32E7"/>
    <w:rsid w:val="3FF27D4B"/>
    <w:rsid w:val="494F6A15"/>
    <w:rsid w:val="49DA6016"/>
    <w:rsid w:val="4D6140A1"/>
    <w:rsid w:val="4ED60565"/>
    <w:rsid w:val="537EE73A"/>
    <w:rsid w:val="53DE33F4"/>
    <w:rsid w:val="57F78F5A"/>
    <w:rsid w:val="5B756444"/>
    <w:rsid w:val="5C1EFFD2"/>
    <w:rsid w:val="5D35EDA4"/>
    <w:rsid w:val="5DB7725F"/>
    <w:rsid w:val="5E7FFEF8"/>
    <w:rsid w:val="5F7F41C0"/>
    <w:rsid w:val="5F7FCC4A"/>
    <w:rsid w:val="5FA5D6EC"/>
    <w:rsid w:val="6775BBB0"/>
    <w:rsid w:val="67A41714"/>
    <w:rsid w:val="67DD8FC9"/>
    <w:rsid w:val="67FCFFC5"/>
    <w:rsid w:val="67FD2658"/>
    <w:rsid w:val="690C630C"/>
    <w:rsid w:val="6D2EC859"/>
    <w:rsid w:val="6DBF8C6C"/>
    <w:rsid w:val="6F9FFF44"/>
    <w:rsid w:val="6FBE5A33"/>
    <w:rsid w:val="709B3342"/>
    <w:rsid w:val="77559D7A"/>
    <w:rsid w:val="777F6BDB"/>
    <w:rsid w:val="77AF3B65"/>
    <w:rsid w:val="77D760B8"/>
    <w:rsid w:val="79DF4066"/>
    <w:rsid w:val="7A7FDB52"/>
    <w:rsid w:val="7ABB18B9"/>
    <w:rsid w:val="7ABE81EB"/>
    <w:rsid w:val="7BAB8E0F"/>
    <w:rsid w:val="7CBFD8A0"/>
    <w:rsid w:val="7D2EC588"/>
    <w:rsid w:val="7DDCBBA3"/>
    <w:rsid w:val="7DE766BB"/>
    <w:rsid w:val="7DEFA949"/>
    <w:rsid w:val="7EAB7033"/>
    <w:rsid w:val="7F2E8615"/>
    <w:rsid w:val="7F4E591A"/>
    <w:rsid w:val="7FA7C9D5"/>
    <w:rsid w:val="7FF78F8C"/>
    <w:rsid w:val="8BFFB5DC"/>
    <w:rsid w:val="8FBEF08C"/>
    <w:rsid w:val="97AFFD0A"/>
    <w:rsid w:val="97BE2705"/>
    <w:rsid w:val="9A6D318F"/>
    <w:rsid w:val="9FCA377C"/>
    <w:rsid w:val="9FEFD6D9"/>
    <w:rsid w:val="B75D2032"/>
    <w:rsid w:val="BB5D69D7"/>
    <w:rsid w:val="C3DFE83C"/>
    <w:rsid w:val="C5FF1501"/>
    <w:rsid w:val="CB5B85B0"/>
    <w:rsid w:val="CDCF68B5"/>
    <w:rsid w:val="CFFE543D"/>
    <w:rsid w:val="D5E01C6D"/>
    <w:rsid w:val="D5FFB0C0"/>
    <w:rsid w:val="D7BFB3D9"/>
    <w:rsid w:val="D8FF3D9C"/>
    <w:rsid w:val="DAFFD5E5"/>
    <w:rsid w:val="DD7EF17E"/>
    <w:rsid w:val="DDEFB386"/>
    <w:rsid w:val="DF7FECB7"/>
    <w:rsid w:val="DF7FF8FA"/>
    <w:rsid w:val="DFB55F51"/>
    <w:rsid w:val="E2D97E00"/>
    <w:rsid w:val="E36E5B49"/>
    <w:rsid w:val="E3BFC1D1"/>
    <w:rsid w:val="E3EC1A4B"/>
    <w:rsid w:val="E9BF0252"/>
    <w:rsid w:val="EA7F9E8C"/>
    <w:rsid w:val="EEF24CB3"/>
    <w:rsid w:val="EFAEBCCE"/>
    <w:rsid w:val="EFB26303"/>
    <w:rsid w:val="EFEB7E5A"/>
    <w:rsid w:val="EFFD7ED5"/>
    <w:rsid w:val="F5DE065A"/>
    <w:rsid w:val="F77EFE53"/>
    <w:rsid w:val="F7E341C3"/>
    <w:rsid w:val="F7F5C819"/>
    <w:rsid w:val="FBFEED11"/>
    <w:rsid w:val="FDF5FA67"/>
    <w:rsid w:val="FF7CA6BD"/>
    <w:rsid w:val="FFBFDB1A"/>
    <w:rsid w:val="FFD9A697"/>
    <w:rsid w:val="FFDAD74E"/>
    <w:rsid w:val="FFEFC3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ocument Map"/>
    <w:basedOn w:val="1"/>
    <w:semiHidden/>
    <w:uiPriority w:val="0"/>
    <w:pPr>
      <w:shd w:val="clear" w:color="auto" w:fill="000080"/>
    </w:pPr>
  </w:style>
  <w:style w:type="paragraph" w:styleId="3">
    <w:name w:val="Balloon Text"/>
    <w:basedOn w:val="1"/>
    <w:semiHidden/>
    <w:uiPriority w:val="0"/>
    <w:rPr>
      <w:sz w:val="18"/>
      <w:szCs w:val="18"/>
    </w:rPr>
  </w:style>
  <w:style w:type="paragraph" w:styleId="4">
    <w:name w:val="footer"/>
    <w:basedOn w:val="1"/>
    <w:link w:val="11"/>
    <w:uiPriority w:val="99"/>
    <w:pPr>
      <w:tabs>
        <w:tab w:val="center" w:pos="4153"/>
        <w:tab w:val="right" w:pos="8306"/>
      </w:tabs>
      <w:snapToGrid w:val="0"/>
      <w:jc w:val="left"/>
    </w:pPr>
    <w:rPr>
      <w:sz w:val="18"/>
      <w:szCs w:val="18"/>
    </w:rPr>
  </w:style>
  <w:style w:type="paragraph" w:styleId="5">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100" w:beforeAutospacing="1" w:after="100" w:afterAutospacing="1"/>
      <w:jc w:val="left"/>
    </w:pPr>
    <w:rPr>
      <w:kern w:val="0"/>
      <w:sz w:val="24"/>
    </w:rPr>
  </w:style>
  <w:style w:type="character" w:styleId="9">
    <w:name w:val="page number"/>
    <w:basedOn w:val="8"/>
    <w:uiPriority w:val="0"/>
  </w:style>
  <w:style w:type="character" w:styleId="10">
    <w:name w:val="Hyperlink"/>
    <w:basedOn w:val="8"/>
    <w:qFormat/>
    <w:uiPriority w:val="0"/>
    <w:rPr>
      <w:color w:val="0000FF"/>
      <w:u w:val="single"/>
    </w:rPr>
  </w:style>
  <w:style w:type="character" w:customStyle="1" w:styleId="11">
    <w:name w:val="页脚 Char"/>
    <w:link w:val="4"/>
    <w:uiPriority w:val="99"/>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Xtzj.Com</Company>
  <Pages>5</Pages>
  <Words>2195</Words>
  <Characters>2228</Characters>
  <Lines>16</Lines>
  <Paragraphs>4</Paragraphs>
  <TotalTime>2</TotalTime>
  <ScaleCrop>false</ScaleCrop>
  <LinksUpToDate>false</LinksUpToDate>
  <CharactersWithSpaces>2229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2023-07-21T01:25:00Z</dcterms:created>
  <dc:creator>Xtzj.User</dc:creator>
  <cp:lastModifiedBy>京师Lawyer-钟</cp:lastModifiedBy>
  <cp:lastPrinted>2023-07-21T17:10:00Z</cp:lastPrinted>
  <dcterms:modified xsi:type="dcterms:W3CDTF">2023-07-25T08:41:35Z</dcterms:modified>
  <dc:title>（局发文式样）</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F854365A0BFF0291E8FFB86421534EBC</vt:lpwstr>
  </property>
</Properties>
</file>