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中国银保监会关于规范信托公司信托业务分类的通知</w:t>
      </w:r>
      <w:r>
        <w:rPr>
          <w:rFonts w:ascii="楷体" w:hAnsi="楷体" w:eastAsia="楷体" w:cs="楷体"/>
          <w:i w:val="0"/>
          <w:iCs w:val="0"/>
          <w:caps w:val="0"/>
          <w:color w:val="333333"/>
          <w:spacing w:val="0"/>
          <w:sz w:val="24"/>
          <w:szCs w:val="24"/>
          <w:bdr w:val="none" w:color="auto" w:sz="0" w:space="0"/>
          <w:shd w:val="clear" w:fill="FFFFFF"/>
        </w:rPr>
        <w:br w:type="textWrapping"/>
      </w:r>
      <w:r>
        <w:rPr>
          <w:rFonts w:hint="eastAsia" w:ascii="楷体" w:hAnsi="楷体" w:eastAsia="楷体" w:cs="楷体"/>
          <w:i w:val="0"/>
          <w:iCs w:val="0"/>
          <w:caps w:val="0"/>
          <w:color w:val="333333"/>
          <w:spacing w:val="0"/>
          <w:sz w:val="24"/>
          <w:szCs w:val="24"/>
          <w:bdr w:val="none" w:color="auto" w:sz="0" w:space="0"/>
          <w:shd w:val="clear" w:fill="FFFFFF"/>
        </w:rPr>
        <w:t>银保监规〔2023〕1号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各银保监局，各信托公司，信托保障基金公司、信托登记公司、信托业协会：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为促进信托业务回归本源、规范发展，切实防范风险，更高效服务实体经济发展和满足人民美好生活需要，现就规范信托公司信托业务分类有关事项通知如下：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进一步厘清信托业务边界和服务内涵，引导信托公司以规范方式发挥制度优势和行业竞争优势，推动信托业走高质量发展之路，助力全面建设社会主义现代化国家。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（一）回归信托本源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信托公司从事信托业务应当立足受托人定位，遵循法律法规和监管要求，确保信托目的合法合规，为受益人的最大利益处理信托事务，履行诚实守信、勤勉尽责的受托责任。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（二）明确分类标准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信托服务实质是根据委托人要求，为受益人利益而对信托财产进行各种方式的管理、处分。信托业务分类应当根据信托服务实质，明确各类业务职责边界，避免相互交叉。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（三）引导差异发展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按照服务内容的具体差异，对信托业务进行细分，突出能够发挥信托制度优势的业务品种，鼓励差异化发展，构建多元化信托服务体系。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（四）保持标准统一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明确资产服务、资产管理、公益慈善等各类信托业务功能，在各类业务服务内涵等方面与国际接轨。资产管理业务监管标准对标《关于规范金融机构资产管理业务的指导意见》（银发〔2018〕106号，以下简称《指导意见》），与国内同业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（五）严格合规管理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严防利用信托机制灵活性变相开展违规业务。信托公司要在穿透基础上，按“实质重于形式”原则对信托业务进行分类。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二、明确信托业务分类标准和要求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信托公司应当以信托目的、信托成立方式、信托财产管理内容为分类维度，将信托业务分为资产服务信托、资产管理信托、公益慈善信托三大类共25个业务品种（具体分类要求见附件）。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（一）资产服务信托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资产服务信托是指信托公司依据信托法律关系，接受委托人委托，并根据委托人需求为其量身定制财富规划以及代际传承、托管、破产隔离和风险处置等专业信托服务。按照服务内容和特点，分为财富管理服务信托、行政管理服务信托、资产证券化服务信托、风险处置服务信托及新型资产服务信托五类、共19个业务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（二）资产管理信托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资产管理信托是信托公司依据信托法律关系，销售信托产品，并为信托产品投资者提供投资和管理金融服务的自益信托，属于私募资产管理业务，适用《指导意见》。信托公司应当通过非公开发行集合资金信托计划（以下简称信托计划）募集资金，并按照信托文件约定的投资方式和比例，对受托资金进行投资管理。信托计划投资者需符合合格投资者标准，在信托设立时既是委托人、也是受益人。资产管理信托依据《指导意见》规定，分为固定收益类信托计划、权益类信托计划、商品及金融衍生品类信托计划和混合类信托计划共4个业务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（三）公益慈善信托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益慈善信托是委托人基于公共利益目的，依法将其财产委托给信托公司，由信托公司按照委托人意愿以信托公司名义进行管理和处分，开展公益慈善活动的信托业务。公益慈善信托的信托财产及其收益，不得用于非公益目的。公益慈善信托按照信托目的，分为慈善信托和其他公益信托共2个业务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三、落实信托公司主体责任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托公司应当完善内部管理机制，做好业务分类工作，准确划分各类信托业务，并在此基础上明确发展战略和转型方向，增强受托服务意识和专业服务能力，以发挥信托独特功能、实现良好社会价值为导向，积极探索开展资产服务信托和公益慈善信托业务，规范开展符合信托本源特征、丰富直接融资方式的资产管理信托业务，提高竞争力和社会声誉，在有效防控风险的基础上实现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（一）明确业务边界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托公司应当严格把握信托业务边界，不得以管理契约型私募基金形式开展资产管理信托业务，不得以信托业务形式开展为融资方服务的私募投行业务，不得以任何形式开展通道业务和资金池业务，不得以任何形式承诺信托财产不受损失或承诺最低收益，坚决压降影子银行风险突出的融资类信托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（二）提高分类质量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托公司应当按照本通知要求完善内部管理制度，结合监管要求和公司业务特点，细化分类标准，根据信托服务实质对信托业务进行全面、准确分类。信托公司不得擅自调节信托业务分类，同一信托业务不得同时归入多个类别。确有拟开展的新型信托业务无法归入现有类别的，应当与属地银保监会派出机构沟通，按照服务实质明确业务分类归属后开展。信托公司应当组织信托业务分类专题培训，确保相关人员熟知信托业务分类标准并准确分类，按照监管要求填报相关监管报表，确保报送数据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（三）完善内控机制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托公司应当将信托业务分类纳入内部控制体系，明确归口管理部门以及业务部门、合规管理部门、内部审计部门等职责，完善信息系统，为做好信托业务分类提供必要的资源和保障。信托公司应当建立信托业务分类定期监测排查机制，加强合规管理和数据核验，确保信托业务持续符合分类标准和监管要求。信托公司应当建立追责问责机制，对重大差错予以严肃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（四）有序实施整改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有序实施存量业务整改，确保平稳过渡，本通知设置3年过渡期。过渡期结束后存在实际困难，仍难以完成整改的，可实施个案处理。对于契约型私募基金业务，按照严禁新增、存量自然到期方式有序清零。对于其他不符合本通知要求的信托业务，单设“待整改业务”一项，有序实施整改。信托公司应当在准确分类基础上充分识别待整改业务，制定整改计划，明确时间进度安排，待整改业务规模应当严格控制在2022年12月31日存量整体规模内并有序压缩递减，防止过渡期结束时出现断崖效应。已纳入资管新规过渡期结束后个案处理范围的信托业务，应当纳入待整改业务，按照资管新规有关要求及前期已报送的整改计划继续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四、加强监管引领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（一）完善监管规则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银保监会根据信托业务发展情况，制定完善各类信托业务具体监管规则，研究完善信托公司分级分类监管制度，持续完善资本管理、信托保障基金筹集、信托产品登记等配套机制，修订非现场监管报表，保障信托业务分类工作有序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（二）加强日常监管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银保监局应当督促指导辖内信托公司按照本通知要求完善内部管理机制，对存量信托业务准确分类、有序整改。各银保监局应当通过非现场监管和现场检查等方式，对信托业务分类准确性及展业合规性实施持续监管，防止监管套利。各银保监局应当提高监管主动性和前瞻性，及时、准确发现违规问题并采取有针对性的纠正措施，责成信托公司限期整改，逾期未整改的，应当依法采取暂停业务等审慎监管措施，并要求信托公司严肃处理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（三）加强宣传引导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银保监局应当指导辖内信托公司加强金融消费者教育，引导金融消费者正确认识信托关系实质和信托业务风险特征，树立信托产品打破刚性兑付的风险意识。信托业协会应当加强宣传引导，组织信托公司自觉落实相关要求，普及信托相关知识，提高社会各界对各类信托业务的认知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本通知自2023年6月1日起实施。本通知实施前公布的规范性文件与本通知规定不一致的，以本通知为准。各信托公司应当于本通知实施后30日内将存续信托业务分类结果和整改计划报送属地银保监会派出机构。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FF"/>
          <w:spacing w:val="0"/>
          <w:sz w:val="24"/>
          <w:szCs w:val="24"/>
          <w:u w:val="none"/>
          <w:bdr w:val="none" w:color="auto" w:sz="0" w:space="0"/>
          <w:shd w:val="clear" w:fill="FFFFFF"/>
        </w:rPr>
        <w:instrText xml:space="preserve"> HYPERLINK "https://www.gov.cn/zhengce/zhengceku/2023-03/25/5748255/files/68f69a7b5a274c54886baad9d374fe82.doc" \t "https://www.gov.cn/zhengce/zhengceku/2023-03/25/_blank" </w:instrText>
      </w:r>
      <w:r>
        <w:rPr>
          <w:rFonts w:hint="eastAsia" w:ascii="宋体" w:hAnsi="宋体" w:eastAsia="宋体" w:cs="宋体"/>
          <w:i w:val="0"/>
          <w:iCs w:val="0"/>
          <w:caps w:val="0"/>
          <w:color w:val="0000FF"/>
          <w:spacing w:val="0"/>
          <w:sz w:val="24"/>
          <w:szCs w:val="24"/>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4"/>
          <w:szCs w:val="24"/>
          <w:u w:val="none"/>
          <w:bdr w:val="none" w:color="auto" w:sz="0" w:space="0"/>
          <w:shd w:val="clear" w:fill="FFFFFF"/>
        </w:rPr>
        <w:t>信托公司信托业务具体分类要求</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FF"/>
          <w:spacing w:val="0"/>
          <w:sz w:val="24"/>
          <w:szCs w:val="24"/>
          <w:u w:val="none"/>
          <w:bdr w:val="none" w:color="auto" w:sz="0" w:space="0"/>
          <w:shd w:val="clear" w:fill="FFFFFF"/>
        </w:rPr>
        <w:instrText xml:space="preserve"> HYPERLINK "https://www.gov.cn/zhengce/zhengceku/2023-03/25/5748255/files/1b5ac1d07cad4e4dbca41a2d1d90559b.doc" \t "https://www.gov.cn/zhengce/zhengceku/2023-03/25/_blank" </w:instrText>
      </w:r>
      <w:r>
        <w:rPr>
          <w:rFonts w:hint="eastAsia" w:ascii="宋体" w:hAnsi="宋体" w:eastAsia="宋体" w:cs="宋体"/>
          <w:i w:val="0"/>
          <w:iCs w:val="0"/>
          <w:caps w:val="0"/>
          <w:color w:val="0000FF"/>
          <w:spacing w:val="0"/>
          <w:sz w:val="24"/>
          <w:szCs w:val="24"/>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4"/>
          <w:szCs w:val="24"/>
          <w:u w:val="none"/>
          <w:bdr w:val="none" w:color="auto" w:sz="0" w:space="0"/>
          <w:shd w:val="clear" w:fill="FFFFFF"/>
        </w:rPr>
        <w:t>信托公司信托业务新分类简表</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中国银保监会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2023年3月20日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OTNlOTRmMThjZTk1MDZhNzFkYWRlMWVjZjVlYjMifQ=="/>
  </w:docVars>
  <w:rsids>
    <w:rsidRoot w:val="3D831BAF"/>
    <w:rsid w:val="3D83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2023-06-21T08:20:00Z</dcterms:created>
  <dc:creator>666</dc:creator>
  <cp:lastModifiedBy>666</cp:lastModifiedBy>
  <dcterms:modified xsi:type="dcterms:W3CDTF">2023-06-21T08:21:23Z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4A4BAF5F92834E24A0E25AD5BDE46C33_11</vt:lpwstr>
  </property>
</Properties>
</file>