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"https://www.pkulaw.com/Readchl/2d12be1d0797ab43bdfb.html"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（第九十五号）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199"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《中华人民共和国兵役法》</w:t>
      </w:r>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已由中华人民共和国第十三届全国人民代表大会常务委员会第三十次会议于2021年8月20日修订通过，现予公布，自2021年10月1日起施行。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2021年8月20日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中华人民共和国兵役法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（1984年5月31日第六届全国人民代表大会第二次会议通过　根据1998年12月29日第九届全国人民代表大会常务委员会第六次会议《关于修改〈中华人民共和国兵役法〉的决定》第一次修正　根据2009年8月27日第十一届全国人民代表大会常务委员会第十次会议《关于修改部分法律的决定》第二次修正　根据2011年10月29日第十一届全国人民代表大会常务委员会第二十三次会议《关于修改〈中华人民共和国兵役法〉的决定》第三次修正　2021年8月20日第十三届全国人民代表大会常务委员会第三十次会议修订）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兵役登记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平时征集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士兵的现役和预备役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军官的现役和预备役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军队院校从青年学生中招收的学员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战时兵员动员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服役待遇和抚恤优待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第九章　退役军人的安置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第十一章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为了规范和加强国家兵役工作，保证公民依法服兵役，保障军队兵员补充和储备，建设巩固国防和强大军队，根据宪法，制定本法。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保卫祖国、抵抗侵略是中华人民共和国每一个公民的神圣职责。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中华人民共和国实行以志愿兵役为主体的志愿兵役与义务兵役相结合的兵役制度。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4"/>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兵役工作坚持中国共产党的领导，贯彻习近平强军思想，贯彻新时代军事战略方针，坚持与国家经济社会发展相协调，坚持与国防和军队建设相适应，遵循服从国防需要、聚焦备战打仗、彰显服役光荣、体现权利和义务一致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5"/>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1" w:name="tiao_5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中华人民共和国公民，不分民族、种族、职业、家庭出身、宗教信仰和教育程度，都有义务依照本法的规定服兵役。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_kuan_2"/>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有严重生理缺陷或者严重残疾不适合服兵役的公民，免服兵役。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_kuan_3"/>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依照法律被剥夺政治权利的公民，不得服兵役。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兵役分为现役和预备役。在中国人民解放军服现役的称军人；预编到现役部队或者编入预备役部队服预备役的，称预备役人员。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军人和预备役人员，必须遵守宪法和法律，履行公民的义务，同时享有公民的权利；由于服兵役而产生的权利和义务，由本法和其他相关法律法规规定。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9" w:name="tiao_8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军人必须遵守军队的条令和条例，忠于职守，随时为保卫祖国而战斗。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预备役人员必须按照规定参加军事训练、担负战备勤务、执行非战争军事行动任务，随时准备应召参战，保卫祖国。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_kuan_3"/>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军人和预备役人员入役时应当依法进行服役宣誓。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3" w:name="tiao_9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全国的兵役工作，在国务院、中央军事委员会领导下，由国防部负责。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9_kuan_2"/>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省军区（卫戍区、警备区）、军分区（警备区）和县、自治县、不设区的市、市辖区的人民武装部，兼各该级人民政府的兵役机关，在上级军事机关和同级人民政府领导下，负责办理本行政区域的兵役工作。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_kuan_3"/>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团体、企业事业组织和乡、民族乡、镇的人民政府，依照本法的规定完成兵役工作任务。兵役工作业务，在设有人民武装部的单位，由人民武装部办理；不设人民武装部的单位，确定一个部门办理。普通高等学校应当有负责兵役工作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0"/>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7" w:name="tiao_10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县级以上地方人民政府兵役机关应当会同相关部门，加强对本行政区域内兵役工作的组织协调和监督检查。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0_kuan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县级以上地方人民政府和同级军事机关应当将兵役工作情况作为拥军优属、拥政爱民评比和有关单位及其负责人考核评价的内容。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1"/>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0" w:name="tiao_11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国家加强兵役工作信息化建设，采取有效措施实现有关部门之间信息共享，推进兵役信息收集、处理、传输、存储等技术的现代化，为提高兵役工作质量效益提供支持。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1_kuan_2"/>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兵役工作有关部门及其工作人员应当对收集的个人信息严格保密，不得泄露或者向他人非法提供。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2"/>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3" w:name="tiao_12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国家采取措施，加强兵役宣传教育，增强公民依法服兵役意识，营造服役光荣的良好社会氛围。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3"/>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5" w:name="tiao_13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军人和预备役人员建立功勋的，按照国家和军队关于功勋荣誉表彰的规定予以褒奖。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3_kuan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组织和个人在兵役工作中作出突出贡献的，按照国家和军队有关规定予以表彰和奖励。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7" w:name="sort2_zhang_2"/>
      <w:bookmarkEnd w:id="3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兵役登记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9" w:name="tiao_14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国家实行兵役登记制度。兵役登记包括初次兵役登记和预备役登记。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5"/>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1" w:name="tiao_15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每年十二月三十一日以前年满十八周岁的男性公民，都应当按照兵役机关的安排在当年进行初次兵役登记。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5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机关、团体、企业事业组织和乡、民族乡、镇的人民政府，应当根据县、自治县、不设区的市、市辖区人民政府兵役机关的安排，负责组织本单位和本行政区域的适龄男性公民进行初次兵役登记。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5_kuan_3"/>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初次兵役登记可以采取网络登记的方式进行，也可以到兵役登记站（点）现场登记。进行兵役登记，应当如实填写个人信息。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6"/>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5" w:name="tiao_16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经过初次兵役登记的未服现役的公民，符合预备役条件的，县、自治县、不设区的市、市辖区人民政府兵役机关可以根据需要，对其进行预备役登记。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7"/>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7" w:name="tiao_17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退出现役的士兵自退出现役之日起四十日内，退出现役的军官自确定安置地之日起三十日内，到安置地县、自治县、不设区的市、市辖区人民政府兵役机关进行兵役登记信息变更；其中，符合预备役条件，经部队确定需要办理预备役登记的，还应当办理预备役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8"/>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9" w:name="tiao_18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县级以上地方人民政府兵役机关负责本行政区域兵役登记工作。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8_kuan_2"/>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县、自治县、不设区的市、市辖区人民政府兵役机关每年组织兵役登记信息核验，会同有关部门对公民兵役登记情况进行查验，确保兵役登记及时，信息准确完整。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1" w:name="sort3_zhang_3"/>
      <w:bookmarkEnd w:id="5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平时征集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9"/>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3" w:name="tiao_19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全国每年征集服现役的士兵的人数、次数、时间和要求，由国务院和中央军事委员会的命令规定。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9_kuan_2"/>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县级以上地方各级人民政府组织兵役机关和有关部门组成征集工作机构，负责组织实施征集工作。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0"/>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6" w:name="tiao_20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年满十八周岁的男性公民，应当被征集服现役；当年未被征集的，在二十二周岁以前仍可以被征集服现役。普通高等学校毕业生的征集年龄可以放宽至二十四周岁，研究生的征集年龄可以放宽至二十六周岁。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0_kuan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根据军队需要，可以按照前款规定征集女性公民服现役。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0_kuan_3"/>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根据军队需要和本人自愿，可以征集年满十七周岁未满十八周岁的公民服现役。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1"/>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0" w:name="tiao_21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经初次兵役登记并初步审查符合征集条件的公民，称应征公民。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1_kuan_2"/>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在征集期间，应征公民应当按照县、自治县、不设区的市、市辖区征集工作机构的通知，按时参加体格检查等征集活动。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1_kuan_3"/>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应征公民符合服现役条件，并经县、自治县、不设区的市、市辖区征集工作机构批准的，被征集服现役。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2"/>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4" w:name="tiao_22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在征集期间，应征公民被征集服现役，同时被机关、团体、企业事业组织招录或者聘用的，应当优先履行服兵役义务；有关机关、团体、企业事业组织应当服从国防和军队建设的需要，支持兵员征集工作。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3"/>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6" w:name="tiao_23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应征公民是维持家庭生活唯一劳动力的，可以缓征。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4"/>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8" w:name="tiao_24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应征公民因涉嫌犯罪正在被依法监察调查、侦查、起诉、审判或者被判处徒刑、拘役、管制正在服刑的，不征集。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69" w:name="sort4_zhang_4"/>
      <w:bookmarkEnd w:id="6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士兵的现役和预备役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5"/>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1" w:name="tiao_25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现役士兵包括义务兵役制士兵和志愿兵役制士兵，义务兵役制士兵称义务兵，志愿兵役制士兵称军士。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6"/>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3" w:name="tiao_26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义务兵服现役的期限为二年。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7"/>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5" w:name="tiao_27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义务兵服现役期满，根据军队需要和本人自愿，经批准可以选改为军士；服现役期间表现特别优秀的，经批准可以提前选改为军士。根据军队需要，可以直接从非军事部门具有专业技能的公民中招收军士。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7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军士实行分级服现役制度。军士服现役的期限一般不超过三十年，年龄不超过五十五周岁。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7_kuan_3"/>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军士分级服现役的办法和直接从非军事部门招收军士的办法，按照国家和军队有关规定执行。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8"/>
      <w:bookmarkEnd w:id="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9" w:name="tiao_28_kuan_1"/>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士兵服现役期满，应当退出现役。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8_kuan_2"/>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士兵因国家建设或者军队编制调整需要退出现役的，经军队医院诊断证明本人健康状况不适合继续服现役的，或者因其他特殊原因需要退出现役的，经批准可以提前退出现役。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9"/>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2" w:name="tiao_29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士兵服现役的时间自征集工作机构批准入伍之日起算。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9_kuan_2"/>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士兵退出现役的时间为部队下达退出现役命令之日。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30"/>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5" w:name="tiao_30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依照本法第十七条规定经过预备役登记的退出现役的士兵，由部队会同兵役机关根据军队需要，遴选确定服士兵预备役；经过考核，适合担任预备役军官职务的，服军官预备役。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1"/>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7" w:name="tiao_31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依照本法第十六条规定经过预备役登记的公民，符合士兵预备役条件的，由部队会同兵役机关根据军队需要，遴选确定服士兵预备役。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2"/>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9" w:name="tiao_32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预备役士兵服预备役的最高年龄，依照其他有关法律规定执行。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2_kuan_2"/>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预备役士兵达到服预备役最高年龄的，退出预备役。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91" w:name="sort5_zhang_5"/>
      <w:bookmarkEnd w:id="9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军官的现役和预备役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3"/>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93" w:name="tiao_33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现役军官从下列人员中选拔、招收：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3_kuan_1_xiang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（一）军队院校毕业学员；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3_kuan_1_xiang_2"/>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（二）普通高等学校应届毕业生；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3_kuan_1_xiang_3"/>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（三）表现优秀的现役士兵；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3_kuan_1_xiang_4"/>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（四）军队需要的专业技术人员和其他人员。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3_kuan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战时根据需要，可以从现役士兵、军队院校学员、征召的预备役军官和其他人员中直接任命军官。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4"/>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00" w:name="tiao_34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预备役军官包括下列人员：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4_kuan_1_xiang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（一）确定服军官预备役的退出现役的军官；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4_kuan_1_xiang_2"/>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（二）确定服军官预备役的退出现役的士兵；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4_kuan_1_xiang_3"/>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（三）确定服军官预备役的专业技术人员和其他人员。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5"/>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05" w:name="tiao_35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军官服现役和服预备役的最高年龄，依照其他有关法律规定执行。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6"/>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07" w:name="tiao_36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现役军官按照规定服现役已满最高年龄或者衔级最高年限的，退出现役；需要延长服现役或者暂缓退出现役的，依照有关法律规定执行。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6_kuan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现役军官按照规定服现役未满最高年龄或者衔级最高年限，因特殊情况需要退出现役的，经批准可以退出现役。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7"/>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0" w:name="tiao_37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依照本法第十七条规定经过预备役登记的退出现役的军官、依照本法第十六条规定经过预备役登记的公民，符合军官预备役条件的，由部队会同兵役机关根据军队需要，遴选确定服军官预备役。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7_kuan_2"/>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预备役军官按照规定服预备役已满最高年龄的，退出预备役。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12" w:name="sort6_zhang_6"/>
      <w:bookmarkEnd w:id="11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军队院校从青年学生中招收的学员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8"/>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14" w:name="tiao_38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根据军队建设的需要，军队院校可以从青年学生中招收学员。招收学员的年龄，不受征集服现役年龄的限制。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9"/>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16" w:name="tiao_39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学员完成学业达到军队培养目标的，由院校发给毕业证书；按照规定任命为现役军官或者军士。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40"/>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18" w:name="tiao_40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学员未达到军队培养目标或者不符合军队培养要求的，由院校按照国家和军队有关规定发给相应证书，并采取多种方式分流；其中，回入学前户口所在地的学员，就读期间其父母已办理户口迁移手续的，可以回父母现户口所在地，由县、自治县、不设区的市、市辖区的人民政府按照国家有关规定接收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41"/>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20" w:name="tiao_41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学员被开除学籍的，回入学前户口所在地；就读期间其父母已办理户口迁移手续的，可以回父母现户口所在地，由县、自治县、不设区的市、市辖区的人民政府按照国家有关规定办理。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42"/>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22" w:name="tiao_42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军队院校从现役士兵中招收的学员，适用本法第三十九条、第四十条、第四十一条的规定。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3" w:name="sort7_zhang_7"/>
      <w:bookmarkEnd w:id="12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战时兵员动员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43"/>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25" w:name="tiao_43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为了应对国家主权、统一、领土完整、安全和发展利益遭受的威胁，抵抗侵略，各级人民政府、各级军事机关，在平时必须做好战时兵员动员的准备工作。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4"/>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27" w:name="tiao_44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国家发布动员令或者国务院、中央军事委员会依照《中华人民共和国国防动员法》采取必要的国防动员措施后，各级人民政府、各级军事机关必须依法迅速实施动员，军人停止退出现役，休假、探亲的军人立即归队，预备役人员随时准备应召服现役，经过预备役登记的公民做好服预备役被征召的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5"/>
      <w:bookmarkEnd w:id="1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9" w:name="tiao_45_kuan_1"/>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战时根据需要，国务院和中央军事委员会可以决定适当放宽征召男性公民服现役的年龄上限，可以决定延长公民服现役的期限。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6"/>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31" w:name="tiao_46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战争结束后，需要复员的军人，根据国务院和中央军事委员会的复员命令，分期分批地退出现役，由各级人民政府妥善安置。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32" w:name="sort8_zhang_8"/>
      <w:bookmarkEnd w:id="13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服役待遇和抚恤优待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7"/>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34" w:name="tiao_47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国家保障军人享有符合军事职业特点、与其履行职责相适应的工资、津贴、住房、医疗、保险、休假、疗养等待遇。军人的待遇应当与国民经济发展相协调，与社会进步相适应。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7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女军人的合法权益受法律保护。军队应当根据女军人的特点，合理安排女军人的工作任务和休息休假，在生育、健康等方面为女军人提供特别保护。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8"/>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37" w:name="tiao_48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备役人员参战、参加军事训练、担负战备勤务、执行非战争军事行动任务，享受国家规定的伙食、交通等补助。预备役人员是机关、团体、企业事业组织工作人员的，参战、参加军事训练、担负战备勤务、执行非战争军事行动任务期间，所在单位应当保持其原有的工资、奖金和福利待遇。预备役人员的其他待遇保障依照有关法律法规和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9"/>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39" w:name="tiao_49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军人按照国家有关规定，在医疗、金融、交通、参观游览、法律服务、文化体育设施服务、邮政服务等方面享受优待政策。公民入伍时保留户籍。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9_kuan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军人因战、因公、因病致残的，按照国家规定评定残疾等级，发给残疾军人证，享受国家规定的待遇、优待和残疾抚恤金。因工作需要继续服现役的残疾军人，由所在部队按照规定发给残疾抚恤金。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9_kuan_3"/>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军人牺牲、病故，国家按照规定发给其遗属抚恤金。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50"/>
      <w:bookmarkEnd w:id="1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43" w:name="tiao_50_kuan_1"/>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国家建立义务兵家庭优待金制度。义务兵家庭优待金标准由地方人民政府制定，中央财政给予定额补助。具体补助办法由国务院退役军人工作主管部门、财政部门会同中央军事委员会机关有关部门制定。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50_kuan_2"/>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义务兵和军士入伍前是机关、团体、事业单位或者国有企业工作人员的，退出现役后可以选择复职复工。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50_kuan_3"/>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义务兵和军士入伍前依法取得的农村土地承包经营权，服现役期间应当保留。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51"/>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47" w:name="tiao_51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现役军官和军士的子女教育，家属的随军、就业创业以及工作调动，享受国家和社会的优待。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51_kuan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符合条件的军人家属，其住房、医疗、养老按照有关规定享受优待。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51_kuan_3"/>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军人配偶随军未就业期间，按照国家有关规定享受相应的保障待遇。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52"/>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51" w:name="tiao_52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预备役人员因参战、参加军事训练、担负战备勤务、执行非战争军事行动任务致残、牺牲的，由当地人民政府依照有关规定给予抚恤优待。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52" w:name="sort9_zhang_9"/>
      <w:bookmarkEnd w:id="15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退役军人的安置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53"/>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54" w:name="tiao_53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对退出现役的义务兵，国家采取自主就业、安排工作、供养等方式妥善安置。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3_kuan_2"/>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义务兵退出现役自主就业的，按照国家规定发给一次性退役金，由安置地的县级以上地方人民政府接收，根据当地的实际情况，可以发给经济补助。国家根据经济社会发展，适时调整退役金的标准。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3_kuan_3"/>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服现役期间平时获得二等功以上荣誉或者战时获得三等功以上荣誉以及属于烈士子女的义务兵退出现役，由安置地的县级以上地方人民政府安排工作；待安排工作期间由当地人民政府按照国家有关规定发给生活补助费；根据本人自愿，也可以选择自主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3_kuan_4"/>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因战、因公、因病致残的义务兵退出现役，按照国家规定的评定残疾等级采取安排工作、供养等方式予以妥善安置；符合安排工作条件的，根据本人自愿，也可以选择自主就业。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4"/>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59" w:name="tiao_54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对退出现役的军士，国家采取逐月领取退役金、自主就业、安排工作、退休、供养等方式妥善安置。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4_kuan_2"/>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军士退出现役，服现役满规定年限的，采取逐月领取退役金方式予以妥善安置。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4_kuan_3"/>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士退出现役，服现役满十二年或者符合国家规定的其他条件的，由安置地的县级以上地方人民政府安排工作；待安排工作期间由当地人民政府按照国家有关规定发给生活补助费；根据本人自愿，也可以选择自主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4_kuan_4"/>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军士服现役满三十年或者年满五十五周岁或者符合国家规定的其他条件的，作退休安置。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4_kuan_5"/>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因战、因公、因病致残的军士退出现役，按照国家规定的评定残疾等级采取安排工作、退休、供养等方式予以妥善安置；符合安排工作条件的，根据本人自愿，也可以选择自主就业。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4_kuan_6"/>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军士退出现役，不符合本条第二款至第五款规定条件的，依照本法第五十三条规定的自主就业方式予以妥善安置。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5"/>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66" w:name="tiao_55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对退出现役的军官，国家采取退休、转业、逐月领取退役金、复员等方式妥善安置；其安置方式的适用条件，依照有关法律法规的规定执行。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6"/>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68" w:name="tiao_56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69" w:name="sort10_zhang_00"/>
      <w:bookmarkEnd w:id="16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7"/>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71" w:name="tiao_57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有服兵役义务的公民有下列行为之一的，由县级人民政府责令限期改正；逾期不改正的，由县级人民政府强制其履行兵役义务，并处以罚款：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7_kuan_1_xiang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（一）拒绝、逃避兵役登记的；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7_kuan_1_xiang_2"/>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（二）应征公民拒绝、逃避征集服现役的；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7_kuan_1_xiang_3"/>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（三）预备役人员拒绝、逃避参加军事训练、担负战备勤务、执行非战争军事行动任务和征召的。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7_kuan_2"/>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第二项行为，拒不改正的，不得录用为公务员或者参照《中华人民共和国公务员法》管理的工作人员，不得招录、聘用为国有企业和事业单位工作人员，两年内不准出境或者升学复学，纳入履行国防义务严重失信主体名单实施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8"/>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77" w:name="tiao_58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军人以逃避服兵役为目的，拒绝履行职责或者逃离部队的，按照中央军事委员会的规定给予处分。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8_kuan_2"/>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军人有前款行为被军队除名、开除军籍或者被依法追究刑事责任的，依照本法第五十七条第二款的规定处罚；其中，被军队除名的，并处以罚款。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8_kuan_3"/>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明知是逃离部队的军人而招录、聘用的，由县级人民政府责令改正，并处以罚款。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9"/>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81" w:name="tiao_59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团体、企业事业组织拒绝完成本法规定的兵役工作任务的，阻挠公民履行兵役义务的，或者有其他妨害兵役工作行为的，由县级以上地方人民政府责令改正，并可以处以罚款；对单位负有责任的领导人员、直接负责的主管人员和其他直接责任人员，依法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60"/>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83" w:name="tiao_60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扰乱兵役工作秩序，或者阻碍兵役工作人员依法执行职务的，依照《中华人民共和国治安管理处罚法》的规定处罚。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61"/>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85" w:name="tiao_61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国家工作人员和军人在兵役工作中，有下列行为之一的，依法给予处分：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61_kuan_1_xiang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（一）贪污贿赂的；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61_kuan_1_xiang_2"/>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（二）滥用职权或者玩忽职守的；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61_kuan_1_xiang_3"/>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（三）徇私舞弊，接送不合格兵员的；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1_kuan_1_xiang_4"/>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（四）泄露或者向他人非法提供兵役个人信息的。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2"/>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91" w:name="tiao_62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3"/>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93" w:name="tiao_63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第五十七条、第五十八条、第五十九条规定的处罚，由县级以上地方人民政府兵役机关会同有关部门查明事实，经同级地方人民政府作出处罚决定后，由县级以上地方人民政府兵役机关、发展改革、公安、退役军人工作、卫生健康、教育、人力资源和社会保障等部门按照职责分工具体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94" w:name="sort11_zhang_01"/>
      <w:bookmarkEnd w:id="19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第十一章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64"/>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96" w:name="tiao_64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本法适用于中国人民武装警察部队。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5"/>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98" w:name="tiao_65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本法自2021年10月1日起施行。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327208"/>
    <w:rsid w:val="064E2198"/>
    <w:rsid w:val="091A069F"/>
    <w:rsid w:val="0C110DC0"/>
    <w:rsid w:val="10790D66"/>
    <w:rsid w:val="10DD4868"/>
    <w:rsid w:val="10FD10BF"/>
    <w:rsid w:val="12DC7432"/>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60207F23"/>
    <w:rsid w:val="669E4597"/>
    <w:rsid w:val="67A72557"/>
    <w:rsid w:val="6910375E"/>
    <w:rsid w:val="6A193682"/>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63</TotalTime>
  <ScaleCrop>false</ScaleCrop>
  <LinksUpToDate>false</LinksUpToDate>
  <CharactersWithSpaces>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2021-10-29T07:19:25Z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2052-11.1.0.11045</vt:lpwstr>
  </property>
  <property fmtid="{D5CDD505-2E9C-101B-9397-08002B2CF9AE}" pid="6" name="ICV">
    <vt:lpwstr>EF84BE0B1C7A4762B64D312F7B5CB855</vt:lpwstr>
  </property>
</Properties>
</file>