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12" w:type="dxa"/>
        <w:jc w:val="center"/>
        <w:tblCellSpacing w:w="0" w:type="dxa"/>
        <w:shd w:val="clear"/>
        <w:tblLayout w:type="autofit"/>
        <w:tblCellMar>
          <w:top w:w="0" w:type="dxa"/>
          <w:left w:w="0" w:type="dxa"/>
          <w:bottom w:w="0" w:type="dxa"/>
          <w:right w:w="0" w:type="dxa"/>
        </w:tblCellMar>
      </w:tblPr>
      <w:tblGrid>
        <w:gridCol w:w="13300"/>
      </w:tblGrid>
      <w:tr>
        <w:tblPrEx>
          <w:tblCellMar>
            <w:top w:w="0" w:type="dxa"/>
            <w:left w:w="0" w:type="dxa"/>
            <w:bottom w:w="0" w:type="dxa"/>
            <w:right w:w="0" w:type="dxa"/>
          </w:tblCellMar>
        </w:tblPrEx>
        <w:trPr>
          <w:trHeight w:val="181" w:hRule="atLeast"/>
          <w:tblCellSpacing w:w="0" w:type="dxa"/>
          <w:jc w:val="center"/>
        </w:trPr>
        <w:tc>
          <w:tcPr>
            <w:tcW w:w="0" w:type="auto"/>
            <w:shd w:val="clear"/>
            <w:vAlign w:val="top"/>
          </w:tcPr>
          <w:p>
            <w:pPr>
              <w:keepNext w:val="0"/>
              <w:keepLines w:val="0"/>
              <w:widowControl/>
              <w:suppressLineNumbers w:val="0"/>
              <w:jc w:val="center"/>
              <w:rPr>
                <w:rFonts w:ascii="Arial" w:hAnsi="Arial" w:cs="Arial"/>
                <w:b/>
                <w:bCs/>
                <w:caps w:val="0"/>
                <w:spacing w:val="0"/>
                <w:sz w:val="32"/>
                <w:szCs w:val="32"/>
              </w:rPr>
            </w:pPr>
            <w:bookmarkStart w:id="0" w:name="_GoBack"/>
            <w:r>
              <w:rPr>
                <w:rFonts w:hint="default" w:ascii="Arial" w:hAnsi="Arial" w:eastAsia="宋体" w:cs="Arial"/>
                <w:b/>
                <w:bCs/>
                <w:caps w:val="0"/>
                <w:spacing w:val="0"/>
                <w:kern w:val="0"/>
                <w:sz w:val="32"/>
                <w:szCs w:val="32"/>
                <w:lang w:val="en-US" w:eastAsia="zh-CN" w:bidi="ar"/>
              </w:rPr>
              <w:t>关于及时提交原料药、药用辅料和药包材年度报告的通知</w:t>
            </w:r>
            <w:bookmarkEnd w:id="0"/>
          </w:p>
        </w:tc>
      </w:tr>
      <w:tr>
        <w:tblPrEx>
          <w:shd w:val="clear"/>
          <w:tblCellMar>
            <w:top w:w="0" w:type="dxa"/>
            <w:left w:w="0" w:type="dxa"/>
            <w:bottom w:w="0" w:type="dxa"/>
            <w:right w:w="0" w:type="dxa"/>
          </w:tblCellMar>
        </w:tblPrEx>
        <w:trPr>
          <w:trHeight w:val="84" w:hRule="atLeast"/>
          <w:tblCellSpacing w:w="0" w:type="dxa"/>
          <w:jc w:val="center"/>
        </w:trPr>
        <w:tc>
          <w:tcPr>
            <w:tcW w:w="0" w:type="auto"/>
            <w:shd w:val="clear"/>
            <w:vAlign w:val="top"/>
          </w:tcPr>
          <w:p>
            <w:pPr>
              <w:keepNext w:val="0"/>
              <w:keepLines w:val="0"/>
              <w:widowControl/>
              <w:suppressLineNumbers w:val="0"/>
              <w:jc w:val="left"/>
              <w:rPr>
                <w:rFonts w:hint="default" w:ascii="Arial" w:hAnsi="Arial" w:cs="Arial"/>
                <w:caps w:val="0"/>
                <w:spacing w:val="0"/>
                <w:sz w:val="24"/>
                <w:szCs w:val="24"/>
              </w:rPr>
            </w:pPr>
            <w:r>
              <w:rPr>
                <w:rFonts w:hint="default" w:ascii="Arial" w:hAnsi="Arial" w:eastAsia="宋体" w:cs="Arial"/>
                <w:caps w:val="0"/>
                <w:spacing w:val="0"/>
                <w:kern w:val="0"/>
                <w:sz w:val="24"/>
                <w:szCs w:val="24"/>
                <w:bdr w:val="none" w:color="auto" w:sz="0" w:space="0"/>
                <w:lang w:val="en-US" w:eastAsia="zh-CN" w:bidi="ar"/>
              </w:rPr>
              <w:drawing>
                <wp:inline distT="0" distB="0" distL="114300" distR="114300">
                  <wp:extent cx="7629525" cy="133350"/>
                  <wp:effectExtent l="0" t="0" r="571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7629525" cy="133350"/>
                          </a:xfrm>
                          <a:prstGeom prst="rect">
                            <a:avLst/>
                          </a:prstGeom>
                          <a:noFill/>
                          <a:ln w="9525">
                            <a:noFill/>
                          </a:ln>
                        </pic:spPr>
                      </pic:pic>
                    </a:graphicData>
                  </a:graphic>
                </wp:inline>
              </w:drawing>
            </w:r>
          </w:p>
        </w:tc>
      </w:tr>
      <w:tr>
        <w:trPr>
          <w:trHeight w:val="97" w:hRule="atLeast"/>
          <w:tblCellSpacing w:w="0" w:type="dxa"/>
          <w:jc w:val="center"/>
        </w:trPr>
        <w:tc>
          <w:tcPr>
            <w:tcW w:w="0" w:type="auto"/>
            <w:shd w:val="clear"/>
            <w:vAlign w:val="top"/>
          </w:tcPr>
          <w:p>
            <w:pPr>
              <w:keepNext w:val="0"/>
              <w:keepLines w:val="0"/>
              <w:widowControl/>
              <w:suppressLineNumbers w:val="0"/>
              <w:jc w:val="center"/>
              <w:rPr>
                <w:rFonts w:hint="default" w:ascii="Arial" w:hAnsi="Arial" w:cs="Arial"/>
                <w:caps w:val="0"/>
                <w:spacing w:val="0"/>
                <w:sz w:val="24"/>
                <w:szCs w:val="24"/>
              </w:rPr>
            </w:pPr>
            <w:r>
              <w:rPr>
                <w:rFonts w:hint="default" w:ascii="Arial" w:hAnsi="Arial" w:eastAsia="宋体" w:cs="Arial"/>
                <w:caps w:val="0"/>
                <w:spacing w:val="0"/>
                <w:kern w:val="0"/>
                <w:sz w:val="24"/>
                <w:szCs w:val="24"/>
                <w:lang w:val="en-US" w:eastAsia="zh-CN" w:bidi="ar"/>
              </w:rPr>
              <w:t>发布日期：20210722</w:t>
            </w:r>
          </w:p>
        </w:tc>
      </w:tr>
      <w:tr>
        <w:trPr>
          <w:trHeight w:val="6000" w:hRule="atLeast"/>
          <w:tblCellSpacing w:w="0" w:type="dxa"/>
          <w:jc w:val="center"/>
        </w:trPr>
        <w:tc>
          <w:tcPr>
            <w:tcW w:w="0" w:type="auto"/>
            <w:shd w:val="clear"/>
            <w:vAlign w:val="top"/>
          </w:tcPr>
          <w:tbl>
            <w:tblPr>
              <w:tblW w:w="5000" w:type="pct"/>
              <w:tblCellSpacing w:w="0" w:type="dxa"/>
              <w:tblInd w:w="0" w:type="dxa"/>
              <w:shd w:val="clear"/>
              <w:tblLayout w:type="autofit"/>
              <w:tblCellMar>
                <w:top w:w="150" w:type="dxa"/>
                <w:left w:w="150" w:type="dxa"/>
                <w:bottom w:w="150" w:type="dxa"/>
                <w:right w:w="150" w:type="dxa"/>
              </w:tblCellMar>
            </w:tblPr>
            <w:tblGrid>
              <w:gridCol w:w="13300"/>
            </w:tblGrid>
            <w:tr>
              <w:tblPrEx>
                <w:shd w:val="clear"/>
              </w:tblPrEx>
              <w:trPr>
                <w:tblCellSpacing w:w="0" w:type="dxa"/>
              </w:trPr>
              <w:tc>
                <w:tcPr>
                  <w:tcW w:w="9264" w:type="dxa"/>
                  <w:shd w:val="clear"/>
                  <w:tcMar>
                    <w:top w:w="168" w:type="dxa"/>
                    <w:left w:w="168" w:type="dxa"/>
                    <w:bottom w:w="168" w:type="dxa"/>
                    <w:right w:w="16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52"/>
                      <w:szCs w:val="52"/>
                    </w:rPr>
                  </w:pPr>
                  <w:r>
                    <w:rPr>
                      <w:rFonts w:hint="default" w:ascii="Arial" w:hAnsi="Arial" w:cs="Arial"/>
                      <w:sz w:val="32"/>
                      <w:szCs w:val="32"/>
                      <w:bdr w:val="none" w:color="auto" w:sz="0" w:space="0"/>
                    </w:rPr>
                    <w:t>       依据《国家药监局关于进一步完善药品关联审评审批和监管工作有关事宜的公告》（2019年第56号）公告第十五条规定“标识为‘A’的原料药发生技术变更的，按照现行药品注册管理有关规定提交变更申请，经批准后实施。原料药的其他变更、药用辅料和药包材的变更应及时在登记平台更新信息，并在每年第一季度提交的上一年年度报告中汇总。”</w:t>
                  </w:r>
                  <w:r>
                    <w:rPr>
                      <w:rFonts w:hint="default" w:ascii="Arial" w:hAnsi="Arial" w:cs="Arial"/>
                      <w:sz w:val="32"/>
                      <w:szCs w:val="32"/>
                      <w:bdr w:val="none" w:color="auto" w:sz="0" w:space="0"/>
                    </w:rPr>
                    <w:br w:type="textWrapping"/>
                  </w:r>
                  <w:r>
                    <w:rPr>
                      <w:rFonts w:hint="default" w:ascii="Arial" w:hAnsi="Arial" w:cs="Arial"/>
                      <w:sz w:val="32"/>
                      <w:szCs w:val="32"/>
                      <w:bdr w:val="none" w:color="auto" w:sz="0" w:space="0"/>
                    </w:rPr>
                    <w:t>       考虑到部分原料药、药用辅料和药包材生产企业因疫情原因没有按时提交年度报告，为鼓励企业复工复产，经请示国家局，现开放原料药、药用辅料和药包材年度报告提交时间。关于恢复年度报告提交时间限制事宜，将另行告知。</w:t>
                  </w:r>
                  <w:r>
                    <w:rPr>
                      <w:rFonts w:hint="default" w:ascii="Arial" w:hAnsi="Arial" w:cs="Arial"/>
                      <w:sz w:val="32"/>
                      <w:szCs w:val="32"/>
                      <w:bdr w:val="none" w:color="auto" w:sz="0" w:space="0"/>
                    </w:rPr>
                    <w:br w:type="textWrapping"/>
                  </w:r>
                  <w:r>
                    <w:rPr>
                      <w:rFonts w:hint="default" w:ascii="Arial" w:hAnsi="Arial" w:cs="Arial"/>
                      <w:sz w:val="32"/>
                      <w:szCs w:val="32"/>
                      <w:bdr w:val="none" w:color="auto" w:sz="0" w:space="0"/>
                    </w:rPr>
                    <w:t>       特此通知。</w:t>
                  </w:r>
                  <w:r>
                    <w:rPr>
                      <w:rFonts w:hint="default" w:ascii="Arial" w:hAnsi="Arial" w:cs="Arial"/>
                      <w:sz w:val="32"/>
                      <w:szCs w:val="32"/>
                      <w:bdr w:val="none" w:color="auto" w:sz="0" w:space="0"/>
                    </w:rPr>
                    <w:br w:type="textWrapping"/>
                  </w:r>
                  <w:r>
                    <w:rPr>
                      <w:rFonts w:hint="default" w:ascii="Arial" w:hAnsi="Arial" w:cs="Arial"/>
                      <w:sz w:val="32"/>
                      <w:szCs w:val="32"/>
                      <w:bdr w:val="none" w:color="auto" w:sz="0" w:space="0"/>
                    </w:rPr>
                    <w:t>                                                                                                                           国家药品监督管理局药品审评中心</w:t>
                  </w:r>
                  <w:r>
                    <w:rPr>
                      <w:rFonts w:hint="default" w:ascii="Arial" w:hAnsi="Arial" w:cs="Arial"/>
                      <w:sz w:val="32"/>
                      <w:szCs w:val="32"/>
                      <w:bdr w:val="none" w:color="auto" w:sz="0" w:space="0"/>
                    </w:rPr>
                    <w:br w:type="textWrapping"/>
                  </w:r>
                  <w:r>
                    <w:rPr>
                      <w:rFonts w:hint="default" w:ascii="Arial" w:hAnsi="Arial" w:cs="Arial"/>
                      <w:sz w:val="32"/>
                      <w:szCs w:val="32"/>
                      <w:bdr w:val="none" w:color="auto" w:sz="0" w:space="0"/>
                    </w:rPr>
                    <w:t>                                                                                                                                         2021年7月22日</w:t>
                  </w:r>
                </w:p>
              </w:tc>
            </w:tr>
            <w:tr>
              <w:tblPrEx>
                <w:shd w:val="clear"/>
                <w:tblCellMar>
                  <w:top w:w="150" w:type="dxa"/>
                  <w:left w:w="150" w:type="dxa"/>
                  <w:bottom w:w="150" w:type="dxa"/>
                  <w:right w:w="150" w:type="dxa"/>
                </w:tblCellMar>
              </w:tblPrEx>
              <w:trPr>
                <w:tblCellSpacing w:w="0" w:type="dxa"/>
              </w:trPr>
              <w:tc>
                <w:tcPr>
                  <w:tcW w:w="9264" w:type="dxa"/>
                  <w:shd w:val="clear"/>
                  <w:tcMar>
                    <w:top w:w="168" w:type="dxa"/>
                    <w:left w:w="168" w:type="dxa"/>
                    <w:bottom w:w="168" w:type="dxa"/>
                    <w:right w:w="16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default" w:ascii="Arial" w:hAnsi="Arial" w:cs="Arial"/>
                      <w:sz w:val="32"/>
                      <w:szCs w:val="32"/>
                      <w:bdr w:val="none" w:color="auto" w:sz="0" w:space="0"/>
                    </w:rPr>
                  </w:pPr>
                </w:p>
              </w:tc>
            </w:tr>
          </w:tbl>
          <w:p>
            <w:pPr>
              <w:spacing w:before="0" w:beforeAutospacing="0" w:after="0" w:afterAutospacing="0" w:line="336" w:lineRule="atLeast"/>
              <w:ind w:left="0" w:right="0"/>
              <w:jc w:val="left"/>
              <w:rPr>
                <w:rFonts w:hint="default" w:ascii="Arial" w:hAnsi="Arial" w:cs="Arial"/>
                <w:caps w:val="0"/>
                <w:spacing w:val="0"/>
                <w:sz w:val="24"/>
                <w:szCs w:val="24"/>
              </w:rPr>
            </w:pPr>
          </w:p>
        </w:tc>
      </w:tr>
    </w:tbl>
    <w:p/>
    <w:sectPr>
      <w:pgSz w:w="11906" w:h="16838"/>
      <w:pgMar w:top="1440" w:right="2880" w:bottom="1440" w:left="28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30C42"/>
    <w:rsid w:val="02B54297"/>
    <w:rsid w:val="033A3FCB"/>
    <w:rsid w:val="0CF51C9A"/>
    <w:rsid w:val="100D4AF3"/>
    <w:rsid w:val="1F0601EC"/>
    <w:rsid w:val="1F7C63E6"/>
    <w:rsid w:val="30B24514"/>
    <w:rsid w:val="337D19C1"/>
    <w:rsid w:val="37FC5F14"/>
    <w:rsid w:val="3B230C42"/>
    <w:rsid w:val="3DC07711"/>
    <w:rsid w:val="48C93669"/>
    <w:rsid w:val="49356948"/>
    <w:rsid w:val="4AFB5761"/>
    <w:rsid w:val="4B8944FC"/>
    <w:rsid w:val="5182186D"/>
    <w:rsid w:val="530139D7"/>
    <w:rsid w:val="54547BF0"/>
    <w:rsid w:val="574C6568"/>
    <w:rsid w:val="65632A0E"/>
    <w:rsid w:val="6B737D8F"/>
    <w:rsid w:val="764F4757"/>
    <w:rsid w:val="7811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Ascii" w:hAnsiTheme="minorAscii" w:cstheme="minorBidi"/>
      <w:kern w:val="2"/>
      <w:sz w:val="28"/>
      <w:szCs w:val="24"/>
      <w:lang w:val="en-US" w:eastAsia="zh-CN" w:bidi="ar-SA"/>
    </w:rPr>
  </w:style>
  <w:style w:type="paragraph" w:styleId="2">
    <w:name w:val="heading 1"/>
    <w:basedOn w:val="1"/>
    <w:next w:val="1"/>
    <w:link w:val="8"/>
    <w:qFormat/>
    <w:uiPriority w:val="0"/>
    <w:pPr>
      <w:keepNext/>
      <w:keepLines/>
      <w:spacing w:before="340" w:after="330" w:line="240" w:lineRule="auto"/>
      <w:outlineLvl w:val="0"/>
    </w:pPr>
    <w:rPr>
      <w:b/>
      <w:bCs/>
      <w:kern w:val="44"/>
      <w:sz w:val="28"/>
      <w:szCs w:val="44"/>
    </w:rPr>
  </w:style>
  <w:style w:type="paragraph" w:styleId="3">
    <w:name w:val="heading 2"/>
    <w:basedOn w:val="1"/>
    <w:next w:val="1"/>
    <w:semiHidden/>
    <w:unhideWhenUsed/>
    <w:qFormat/>
    <w:uiPriority w:val="0"/>
    <w:pPr>
      <w:keepNext/>
      <w:keepLines/>
      <w:spacing w:before="20" w:beforeLines="0" w:beforeAutospacing="0" w:after="20" w:afterLines="0" w:afterAutospacing="0" w:line="360" w:lineRule="auto"/>
      <w:outlineLvl w:val="1"/>
    </w:pPr>
    <w:rPr>
      <w:rFonts w:ascii="Arial" w:hAnsi="Arial"/>
      <w:b/>
      <w:sz w:val="28"/>
    </w:rPr>
  </w:style>
  <w:style w:type="paragraph" w:styleId="4">
    <w:name w:val="heading 3"/>
    <w:basedOn w:val="1"/>
    <w:next w:val="1"/>
    <w:link w:val="9"/>
    <w:semiHidden/>
    <w:unhideWhenUsed/>
    <w:qFormat/>
    <w:uiPriority w:val="0"/>
    <w:pPr>
      <w:keepNext/>
      <w:keepLines/>
      <w:spacing w:before="260" w:beforeLines="0" w:beforeAutospacing="0" w:after="260" w:afterLines="0" w:afterAutospacing="0" w:line="240" w:lineRule="atLeast"/>
      <w:outlineLvl w:val="2"/>
    </w:pPr>
    <w:rPr>
      <w:b/>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1 Char"/>
    <w:basedOn w:val="7"/>
    <w:link w:val="2"/>
    <w:qFormat/>
    <w:uiPriority w:val="0"/>
    <w:rPr>
      <w:rFonts w:eastAsia="宋体"/>
      <w:b/>
      <w:bCs/>
      <w:kern w:val="44"/>
      <w:sz w:val="28"/>
      <w:szCs w:val="44"/>
    </w:rPr>
  </w:style>
  <w:style w:type="character" w:customStyle="1" w:styleId="9">
    <w:name w:val="标题 3 Char"/>
    <w:link w:val="4"/>
    <w:qFormat/>
    <w:uiPriority w:val="0"/>
    <w:rPr>
      <w:rFonts w:eastAsia="宋体"/>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2021-07-27T07:30:00Z</dcterms:created>
  <dc:creator>Këe</dc:creator>
  <cp:lastModifiedBy>Këe</cp:lastModifiedBy>
  <dcterms:modified xsi:type="dcterms:W3CDTF">2021-07-27T07:31:18Z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E5CBD9005D0E481DBFD3CA8083C775E8</vt:lpwstr>
  </property>
</Properties>
</file>