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《医疗保障基金使用监督管理条例》</w:t>
      </w:r>
      <w:bookmarkEnd w:id="0"/>
      <w:r>
        <w:rPr>
          <w:rFonts w:hint="eastAsia" w:ascii="宋体" w:hAnsi="宋体" w:eastAsia="宋体" w:cs="宋体"/>
          <w:i w:val="0"/>
          <w:iCs w:val="0"/>
          <w:caps w:val="0"/>
          <w:color w:val="333333"/>
          <w:spacing w:val="0"/>
          <w:sz w:val="24"/>
          <w:szCs w:val="24"/>
          <w:bdr w:val="none" w:color="auto" w:sz="0" w:space="0"/>
          <w:shd w:val="clear" w:fill="FFFFFF"/>
        </w:rPr>
        <w:t>已经2020年12月9日国务院第117次常务会议通过，现予公布，自2021年5月1日起施行。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李克强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2021年1月15日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医疗保障基金使用监督管理条例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为了加强医疗保障基金使用监督管理，保障基金安全，促进基金有效使用，维护公民医疗保障合法权益，根据《中华人民共和国社会保险法》和其他有关法律规定，制定本条例。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本条例适用于中华人民共和国境内基本医疗保险（含生育保险）基金、医疗救助基金等医疗保障基金使用及其监督管理。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医疗保障基金使用坚持以人民健康为中心，保障水平与经济社会发展水平相适应，遵循合法、安全、公开、便民的原则。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医疗保障基金使用监督管理实行政府监管、社会监督、行业自律和个人守信相结合。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国务院医疗保障行政部门主管全国的医疗保障基金使用监督管理工作。国务院其他有关部门在各自职责范围内负责有关的医疗保障基金使用监督管理工作。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国家鼓励和支持新闻媒体开展医疗保障法律、法规和医疗保障知识的公益宣传，并对医疗保障基金使用行为进行舆论监督。有关医疗保障的宣传报道应当真实、公正。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医疗机构、药品经营单位（以下统称医药机构）等单位和医药卫生行业协会应当加强行业自律，规范医药服务行为，促进行业规范和自我约束，引导依法、合理使用医疗保障基金。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基金使用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医疗保障基金使用应当符合国家规定的支付范围。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国家建立健全全国统一的医疗保障经办管理体系，提供标准化、规范化的医疗保障经办服务，实现省、市、县、乡镇（街道）、村（社区）全覆盖。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医疗保障经办机构应当及时向社会公布签订服务协议的定点医药机构名单。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医疗保障行政部门应当加强对服务协议订立、履行等情况的监督。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医疗保障经办机构应当按照服务协议的约定，及时结算和拨付医疗保障基金。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定点医药机构应当按照规定提供医药服务，提高服务质量，合理使用医疗保障基金，维护公民健康权益。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医疗保障经办机构违反服务协议的，定点医药机构有权要求纠正或者提请医疗保障行政部门协调处理、督促整改，也可以依法申请行政复议或者提起行政诉讼。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定点医药机构应当建立医疗保障基金使用内部管理制度，由专门机构或者人员负责医疗保障基金使用管理工作，建立健全考核评价体系。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定点医药机构应当组织开展医疗保障基金相关制度、政策的培训，定期检查本单位医疗保障基金使用情况，及时纠正医疗保障基金使用不规范的行为。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参保人员应当持本人医疗保障凭证就医、购药，并主动出示接受查验。参保人员有权要求定点医药机构如实出具费用单据和相关资料。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参保人员应当妥善保管本人医疗保障凭证，防止他人冒名使用。因特殊原因需要委托他人代为购药的，应当提供委托人和受托人的身份证明。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参保人员应当按照规定享受医疗保障待遇，不得重复享受。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参保人员有权要求医疗保障经办机构提供医疗保障咨询服务，对医疗保障基金的使用提出改进建议。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在医疗保障基金使用过程中，医疗保障等行政部门、医疗保障经办机构、定点医药机构及其工作人员不得收受贿赂或者取得其他非法收入。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参保人员不得利用其享受医疗保障待遇的机会转卖药品，接受返还现金、实物或者获得其他非法利益。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定点医药机构不得为参保人员利用其享受医疗保障待遇的机会转卖药品，接受返还现金、实物或者获得其他非法利益提供便利。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医疗保障基金专款专用，任何组织和个人不得侵占或者挪用。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医疗保障、卫生健康、中医药、市场监督管理、财政、审计、公安等部门应当分工协作、相互配合，建立沟通协调、案件移送等机制，共同做好医疗保障基金使用监督管理工作。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医疗保障行政部门应当加强对纳入医疗保障基金支付范围的医疗服务行为和医疗费用的监督，规范医疗保障经办业务，依法查处违法使用医疗保障基金的行为。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国务院医疗保障行政部门负责制定服务协议管理办法，规范、简化、优化医药机构定点申请、专业评估、协商谈判程序，制作并定期修订服务协议范本。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国务院医疗保障行政部门制定服务协议管理办法，应当听取有关部门、医药机构、行业协会、社会公众、专家等方面意见。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医疗保障行政部门应当根据医疗保障基金风险评估、举报投诉线索、医疗保障数据监控等因素，确定检查重点，组织开展专项检查。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医疗保障行政部门可以会同卫生健康、中医药、市场监督管理、财政、公安等部门开展联合检查。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对跨区域的医疗保障基金使用行为，由共同的上一级医疗保障行政部门指定的医疗保障行政部门检查。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医疗保障行政部门实施监督检查，可以采取下列措施：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（一）进入现场检查；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（二）询问有关人员；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（三）要求被检查对象提供与检查事项相关的文件资料，并作出解释和说明；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（四）采取记录、录音、录像、照相或者复制等方式收集有关情况和资料；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（五）对可能被转移、隐匿或者灭失的资料等予以封存；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（六）聘请符合条件的会计师事务所等第三方机构和专业人员协助开展检查；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医疗保障行政部门可以依法委托符合法定条件的组织开展医疗保障行政执法工作。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开展医疗保障基金使用监督检查，监督检查人员不得少于2人，并且应当出示执法证件。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医疗保障行政部门进行监督检查时，被检查对象应当予以配合，如实提供相关资料和信息，不得拒绝、阻碍检查或者谎报、瞒报。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医疗保障行政部门应当定期向社会公布医疗保障基金使用监督检查结果，加大对医疗保障基金使用违法案件的曝光力度，接受社会监督。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任何组织和个人有权对侵害医疗保障基金的违法违规行为进行举报、投诉。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医疗保障行政部门应当畅通举报投诉渠道，依法及时处理有关举报投诉，并对举报人的信息保密。对查证属实的举报，按照国家有关规定给予举报人奖励。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医疗保障经办机构有下列情形之一的，由医疗保障行政部门责令改正，对直接负责的主管人员和其他直接责任人员依法给予处分：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（一）未建立健全业务、财务、安全和风险管理制度；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（二）未履行服务协议管理、费用监控、基金拨付、待遇审核及支付等职责；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（三）未定期向社会公开医疗保障基金的收入、支出、结余等情况。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（一）分解住院、挂床住院；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（二）违反诊疗规范过度诊疗、过度检查、分解处方、超量开药、重复开药或者提供其他不必要的医药服务；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（三）重复收费、超标准收费、分解项目收费；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（四）串换药品、医用耗材、诊疗项目和服务设施；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（五）为参保人员利用其享受医疗保障待遇的机会转卖药品，接受返还现金、实物或者获得其他非法利益提供便利；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（六）将不属于医疗保障基金支付范围的医药费用纳入医疗保障基金结算；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（七）造成医疗保障基金损失的其他违法行为。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定点医药机构有下列情形之一的，由医疗保障行政部门责令改正，并可以约谈有关负责人；拒不改正的，处1万元以上5万元以下的罚款；违反其他法律、行政法规的，由有关主管部门依法处理：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（一）未建立医疗保障基金使用内部管理制度，或者没有专门机构或者人员负责医疗保障基金使用管理工作；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（二）未按照规定保管财务账目、会计凭证、处方、病历、治疗检查记录、费用明细、药品和医用耗材出入库记录等资料；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（三）未按照规定通过医疗保障信息系统传送医疗保障基金使用有关数据；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（四）未按照规定向医疗保障行政部门报告医疗保障基金使用监督管理所需信息；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（五）未按照规定向社会公开医药费用、费用结构等信息；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（六）除急诊、抢救等特殊情形外，未经参保人员或者其近亲属、监护人同意提供医疗保障基金支付范围以外的医药服务；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（七）拒绝医疗保障等行政部门监督检查或者提供虚假情况。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（一）诱导、协助他人冒名或者虚假就医、购药，提供虚假证明材料，或者串通他人虚开费用单据；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（二）伪造、变造、隐匿、涂改、销毁医学文书、医学证明、会计凭证、电子信息等有关资料；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（三）虚构医药服务项目；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（四）其他骗取医疗保障基金支出的行为。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定点医药机构以骗取医疗保障基金为目的，实施了本条例第三十八条规定行为之一，造成医疗保障基金损失的，按照本条规定处理。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个人有下列情形之一的，由医疗保障行政部门责令改正；造成医疗保障基金损失的，责令退回；属于参保人员的，暂停其医疗费用联网结算3个月至12个月：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（一）将本人的医疗保障凭证交由他人冒名使用；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（二）重复享受医疗保障待遇；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（三）利用享受医疗保障待遇的机会转卖药品，接受返还现金、实物或者获得其他非法利益。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违反本条例规定，侵占、挪用医疗保障基金的，由医疗保障等行政部门责令追回；有违法所得的，没收违法所得；对直接负责的主管人员和其他直接责任人员依法给予处分。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退回的基金退回原医疗保障基金财政专户；罚款、没收的违法所得依法上缴国库。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医疗保障等行政部门工作人员在医疗保障基金使用监督管理工作中滥用职权、玩忽职守、徇私舞弊的，依法给予处分。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违反本条例规定，构成违反治安管理行为的，依法给予治安管理处罚；构成犯罪的，依法追究刑事责任。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违反本条例规定，给有关单位或者个人造成损失的，依法承担赔偿责任。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职工大额医疗费用补助、公务员医疗补助等医疗保障资金使用的监督管理，参照本条例执行。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居民大病保险资金的使用按照国家有关规定执行，医疗保障行政部门应当加强监督。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本条例自2021年5月1日起施行。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F0A1A53"/>
    <w:rsid w:val="2F476C5F"/>
    <w:rsid w:val="33BD21F8"/>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49</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B8DD19FA46ED4D8CBB946F034577EC06</vt:lpwstr>
  </property>
</Properties>
</file>