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D2B2" w14:textId="77777777" w:rsidR="00397928" w:rsidRPr="00397928" w:rsidRDefault="00397928" w:rsidP="00397928">
      <w:pPr>
        <w:widowControl/>
        <w:spacing w:line="525" w:lineRule="atLeast"/>
        <w:jc w:val="center"/>
        <w:rPr>
          <w:rFonts w:ascii="微软雅黑" w:eastAsia="微软雅黑" w:hAnsi="微软雅黑" w:cs="宋体"/>
          <w:color w:val="1966A7"/>
          <w:kern w:val="0"/>
          <w:sz w:val="36"/>
          <w:szCs w:val="36"/>
        </w:rPr>
      </w:pPr>
      <w:r w:rsidRPr="00397928">
        <w:rPr>
          <w:rFonts w:ascii="微软雅黑" w:eastAsia="微软雅黑" w:hAnsi="微软雅黑" w:cs="宋体" w:hint="eastAsia"/>
          <w:color w:val="1966A7"/>
          <w:kern w:val="0"/>
          <w:sz w:val="36"/>
          <w:szCs w:val="36"/>
        </w:rPr>
        <w:t>关于印发2021年纠正医药购销领域和医疗服务中不正之风工作要点的通知</w:t>
      </w:r>
    </w:p>
    <w:p w14:paraId="2115E470" w14:textId="0EF8C295" w:rsidR="00397928" w:rsidRPr="00397928" w:rsidRDefault="00397928" w:rsidP="00397928">
      <w:pPr>
        <w:widowControl/>
        <w:jc w:val="center"/>
        <w:rPr>
          <w:rFonts w:ascii="微软雅黑" w:eastAsia="微软雅黑" w:hAnsi="微软雅黑" w:cs="宋体" w:hint="eastAsia"/>
          <w:color w:val="484848"/>
          <w:kern w:val="0"/>
          <w:sz w:val="15"/>
          <w:szCs w:val="15"/>
        </w:rPr>
      </w:pPr>
    </w:p>
    <w:p w14:paraId="155065F3"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国卫医函〔2021〕85号</w:t>
      </w:r>
    </w:p>
    <w:p w14:paraId="4863D5F2"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w:t>
      </w:r>
    </w:p>
    <w:p w14:paraId="3913875F"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各省、自治区、直辖市卫生健康委、工业和信息化主管部门、公安厅（局）、财政厅（局）、商务厅（局）、市场监管局、医疗保障局、中医药管理局，国家税务总局各省、自治区、直辖市和计划单列市税务局，新疆生产建设兵团卫生健康委、工业和信息化委员会、公安局、财务局、商务局、市场监督局、医疗保障局：</w:t>
      </w:r>
      <w:r w:rsidRPr="00397928">
        <w:rPr>
          <w:rFonts w:ascii="仿宋" w:eastAsia="仿宋" w:hAnsi="仿宋" w:cs="宋体" w:hint="eastAsia"/>
          <w:color w:val="484848"/>
          <w:kern w:val="0"/>
          <w:sz w:val="32"/>
          <w:szCs w:val="32"/>
        </w:rPr>
        <w:br/>
        <w:t xml:space="preserve">　　现将《2021年纠正医药购销领域和医疗服务中不正之风工作要点》印发给你们，请结合实际，认真贯彻执行。</w:t>
      </w:r>
    </w:p>
    <w:p w14:paraId="3D3D14EA"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w:t>
      </w:r>
    </w:p>
    <w:p w14:paraId="6B5820D5"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国家卫生健康委　　　　　工业和信息化部</w:t>
      </w:r>
    </w:p>
    <w:p w14:paraId="2EF084B0"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公安部　　　　　　　　　财政部</w:t>
      </w:r>
    </w:p>
    <w:p w14:paraId="5C1F30C6"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商务部　　　　　　国家税务总局</w:t>
      </w:r>
    </w:p>
    <w:p w14:paraId="339EF7CB"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国家市场监管总局　　　　　　　国家医保局</w:t>
      </w:r>
    </w:p>
    <w:p w14:paraId="7494F4BE"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国家中医药局</w:t>
      </w:r>
    </w:p>
    <w:p w14:paraId="117E209A" w14:textId="77777777" w:rsidR="00397928" w:rsidRPr="00397928" w:rsidRDefault="00397928" w:rsidP="00397928">
      <w:pPr>
        <w:widowControl/>
        <w:jc w:val="right"/>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2021年4月25日</w:t>
      </w:r>
    </w:p>
    <w:p w14:paraId="2EB565ED"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xml:space="preserve">　　（信息公开形式：主动公开）</w:t>
      </w:r>
    </w:p>
    <w:p w14:paraId="0013EE7F"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w:t>
      </w:r>
    </w:p>
    <w:p w14:paraId="17B136DC" w14:textId="77777777" w:rsidR="00397928" w:rsidRPr="00397928" w:rsidRDefault="00397928" w:rsidP="00397928">
      <w:pPr>
        <w:widowControl/>
        <w:jc w:val="center"/>
        <w:rPr>
          <w:rFonts w:ascii="仿宋" w:eastAsia="仿宋" w:hAnsi="仿宋" w:cs="宋体" w:hint="eastAsia"/>
          <w:color w:val="484848"/>
          <w:kern w:val="0"/>
          <w:sz w:val="32"/>
          <w:szCs w:val="32"/>
        </w:rPr>
      </w:pPr>
      <w:r w:rsidRPr="00397928">
        <w:rPr>
          <w:rFonts w:ascii="微软雅黑" w:eastAsia="微软雅黑" w:hAnsi="微软雅黑" w:cs="宋体" w:hint="eastAsia"/>
          <w:b/>
          <w:bCs/>
          <w:color w:val="484848"/>
          <w:kern w:val="0"/>
          <w:sz w:val="44"/>
          <w:szCs w:val="44"/>
        </w:rPr>
        <w:lastRenderedPageBreak/>
        <w:t>2021年纠正医药购销领域和医疗服务中</w:t>
      </w:r>
      <w:r w:rsidRPr="00397928">
        <w:rPr>
          <w:rFonts w:ascii="微软雅黑" w:eastAsia="微软雅黑" w:hAnsi="微软雅黑" w:cs="宋体" w:hint="eastAsia"/>
          <w:b/>
          <w:bCs/>
          <w:color w:val="484848"/>
          <w:kern w:val="0"/>
          <w:sz w:val="44"/>
          <w:szCs w:val="44"/>
        </w:rPr>
        <w:br/>
        <w:t>不正之风工作要点</w:t>
      </w:r>
    </w:p>
    <w:p w14:paraId="04925CA9"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w:t>
      </w:r>
    </w:p>
    <w:p w14:paraId="7DF96C24"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xml:space="preserve">　　2021年纠正医药购销领域和医疗服务中不正之风专项治理工作的总体要求是：以习近平新时代中国特色社会主义思想为指导，深入贯彻十九届中央纪委五次全会精神，坚决落实党中央关于党风廉政建设的决策部署，切实履行“管行业必须管行风”“谁主管谁负责”的行业治理主体责任，持续纠治医药购销领域和医疗服务中的不正之风，全面弘扬伟大抗疫精神，推动卫生健康行业作风建设再上新台阶。</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一、坚决维护疫苗接种工作顺利实施</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加强重点省份的医疗物资质量专项督导。深入开展打击涉疫苗犯罪专项行动，依法严厉打击疫苗领域制假售假、非法经营、走私，以及疫苗接种过程中发生的非法行医和以疫苗为幌子进行诈骗等犯罪行为。</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二、打击核酸检测领域违法违规行为</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加强核酸检测管理，鼓励同时提供单样检测和混样检测服务，并在醒目位置公示核酸检测价格，严禁虚标价格或超标准收费，严厉打击以快速核酸检测为名实施的诈骗或故意篡改核酸检测证明等违法违规行为。</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三、深入开展定点医疗机构规范使用医保基金专项治理</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lastRenderedPageBreak/>
        <w:t xml:space="preserve">　　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四、持续整治收受“红包”等医疗乱象</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巩固专项治理成效，完善回访制度、畅通举报途径、加强线索查办，纠治收受“红包”、术中加项、“持刀加价”、小病大治、重复检查、捆绑推销药品耗材、将普通食品冒充特医食品推荐给患者、医疗机构内宣传和销售母乳代用品等行为，及时清除影响群众就医获得感的行风问题。</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五、保持打击“回扣”行为高压态势</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法依规从严处理。相关企业给付回扣、捆绑推销药品耗材等商业贿赂违法线索，移交市场监管部门处理。</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六、坚决纠正扰乱医疗服务领域行业秩序行为</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规范医疗机构名称，打击仿冒混淆、虚假宣传、商业贿</w:t>
      </w:r>
      <w:r w:rsidRPr="00397928">
        <w:rPr>
          <w:rFonts w:ascii="仿宋" w:eastAsia="仿宋" w:hAnsi="仿宋" w:cs="宋体" w:hint="eastAsia"/>
          <w:color w:val="484848"/>
          <w:kern w:val="0"/>
          <w:sz w:val="32"/>
          <w:szCs w:val="32"/>
        </w:rPr>
        <w:lastRenderedPageBreak/>
        <w:t>赂及发布违法医疗广告等行为，整治医疗美容行业使用走私贩私、假冒伪劣产品以及保健品领域乱象。深入开展卫生健康行业内扫黑除恶，严厉打击线上和线下号贩子、“黑救护”“黑医院”“黑诊所”以及威胁医务人员人身安全的违法犯罪行为，推进平安医院建设。</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七、全面构建“亲清”型廉洁规范的医商关系</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构建“亲清”守纪的医商关系，划清交往底线。严禁借助任何名义进行利益输送；严禁收受利益企业财物、接受招待、领取报酬。加强对所属人员的监督，对有关工作人员与利益相关企业人员交往中出现的苗头性、倾向性问题，早发现、早提醒、早纠正。利益输送相关企业违法违规线索，移交市场监管部门处理。</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八、加大不正之风案件联合惩戒力度</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对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九、高位引领推动纠风工作落地见效</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持续加强党对纠风工作的全面领导，深入落实纠风工作主体责任，强化行业监管和内部治理。不断提升部门间联动协作效能，探索专业领域由专业部门牵头，机制单位配合的</w:t>
      </w:r>
      <w:r w:rsidRPr="00397928">
        <w:rPr>
          <w:rFonts w:ascii="仿宋" w:eastAsia="仿宋" w:hAnsi="仿宋" w:cs="宋体" w:hint="eastAsia"/>
          <w:color w:val="484848"/>
          <w:kern w:val="0"/>
          <w:sz w:val="32"/>
          <w:szCs w:val="32"/>
        </w:rPr>
        <w:lastRenderedPageBreak/>
        <w:t>“专项+”工作模式。强化“三医联动”，将医疗、医保、医药领域行风建设一体研究、一体推进，全面融入医改政策。在落实纠风要点过程中，要注意选树行业作风先进典型，充分发挥先进典型的激励、示范和导向作用。</w:t>
      </w:r>
      <w:r w:rsidRPr="00397928">
        <w:rPr>
          <w:rFonts w:ascii="仿宋" w:eastAsia="仿宋" w:hAnsi="仿宋" w:cs="宋体" w:hint="eastAsia"/>
          <w:color w:val="484848"/>
          <w:kern w:val="0"/>
          <w:sz w:val="32"/>
          <w:szCs w:val="32"/>
        </w:rPr>
        <w:br/>
      </w:r>
      <w:r w:rsidRPr="00397928">
        <w:rPr>
          <w:rFonts w:ascii="黑体" w:eastAsia="黑体" w:hAnsi="黑体" w:cs="宋体" w:hint="eastAsia"/>
          <w:color w:val="484848"/>
          <w:kern w:val="0"/>
          <w:sz w:val="32"/>
          <w:szCs w:val="32"/>
        </w:rPr>
        <w:t xml:space="preserve">　　十、进一步完善行风管理制度</w:t>
      </w:r>
      <w:r w:rsidRPr="00397928">
        <w:rPr>
          <w:rFonts w:ascii="黑体" w:eastAsia="黑体" w:hAnsi="黑体" w:cs="宋体" w:hint="eastAsia"/>
          <w:color w:val="484848"/>
          <w:kern w:val="0"/>
          <w:sz w:val="32"/>
          <w:szCs w:val="32"/>
        </w:rPr>
        <w:br/>
      </w:r>
      <w:r w:rsidRPr="00397928">
        <w:rPr>
          <w:rFonts w:ascii="仿宋" w:eastAsia="仿宋" w:hAnsi="仿宋" w:cs="宋体" w:hint="eastAsia"/>
          <w:color w:val="484848"/>
          <w:kern w:val="0"/>
          <w:sz w:val="32"/>
          <w:szCs w:val="32"/>
        </w:rPr>
        <w:t xml:space="preserve">　　以现行党内法规和法律法规为依据，升级完善医疗卫生“九不准”，针对当前行业乱象的突出表现形式， 配套对应罚则建议，指导各地各级卫生健康行政部门和医疗卫生机构，制定贯彻落实“九不准”升级版的具体办法，确保政策层层细化、落地见效。</w:t>
      </w:r>
      <w:r w:rsidRPr="00397928">
        <w:rPr>
          <w:rFonts w:ascii="仿宋" w:eastAsia="仿宋" w:hAnsi="仿宋" w:cs="宋体" w:hint="eastAsia"/>
          <w:color w:val="484848"/>
          <w:kern w:val="0"/>
          <w:sz w:val="32"/>
          <w:szCs w:val="32"/>
        </w:rPr>
        <w:br/>
      </w:r>
      <w:r w:rsidRPr="00397928">
        <w:rPr>
          <w:rFonts w:ascii="仿宋" w:eastAsia="仿宋" w:hAnsi="仿宋" w:cs="宋体" w:hint="eastAsia"/>
          <w:color w:val="484848"/>
          <w:kern w:val="0"/>
          <w:sz w:val="32"/>
          <w:szCs w:val="32"/>
        </w:rPr>
        <w:t> </w:t>
      </w:r>
      <w:r w:rsidRPr="00397928">
        <w:rPr>
          <w:rFonts w:ascii="仿宋" w:eastAsia="仿宋" w:hAnsi="仿宋" w:cs="宋体" w:hint="eastAsia"/>
          <w:color w:val="484848"/>
          <w:kern w:val="0"/>
          <w:sz w:val="32"/>
          <w:szCs w:val="32"/>
        </w:rPr>
        <w:br/>
        <w:t xml:space="preserve">　　附件：2021年纠正医药购销领域和医疗服务中不正之风专项治理工作要点任务分工表</w:t>
      </w:r>
      <w:r w:rsidRPr="00397928">
        <w:rPr>
          <w:rFonts w:ascii="仿宋" w:eastAsia="仿宋" w:hAnsi="仿宋" w:cs="宋体" w:hint="eastAsia"/>
          <w:color w:val="484848"/>
          <w:kern w:val="0"/>
          <w:sz w:val="32"/>
          <w:szCs w:val="32"/>
        </w:rPr>
        <w:t> </w:t>
      </w:r>
      <w:r w:rsidRPr="00397928">
        <w:rPr>
          <w:rFonts w:ascii="仿宋" w:eastAsia="仿宋" w:hAnsi="仿宋" w:cs="宋体" w:hint="eastAsia"/>
          <w:color w:val="484848"/>
          <w:kern w:val="0"/>
          <w:sz w:val="32"/>
          <w:szCs w:val="32"/>
        </w:rPr>
        <w:t> </w:t>
      </w:r>
    </w:p>
    <w:p w14:paraId="64B6AA4A"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w:t>
      </w:r>
    </w:p>
    <w:p w14:paraId="4EAFC168"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附件</w:t>
      </w:r>
    </w:p>
    <w:p w14:paraId="479B9B88" w14:textId="77777777" w:rsidR="00397928" w:rsidRPr="00397928" w:rsidRDefault="00397928" w:rsidP="00397928">
      <w:pPr>
        <w:widowControl/>
        <w:rPr>
          <w:rFonts w:ascii="仿宋" w:eastAsia="仿宋" w:hAnsi="仿宋" w:cs="宋体" w:hint="eastAsia"/>
          <w:color w:val="484848"/>
          <w:kern w:val="0"/>
          <w:sz w:val="32"/>
          <w:szCs w:val="32"/>
        </w:rPr>
      </w:pPr>
      <w:r w:rsidRPr="00397928">
        <w:rPr>
          <w:rFonts w:ascii="仿宋" w:eastAsia="仿宋" w:hAnsi="仿宋" w:cs="宋体" w:hint="eastAsia"/>
          <w:color w:val="484848"/>
          <w:kern w:val="0"/>
          <w:sz w:val="32"/>
          <w:szCs w:val="32"/>
        </w:rPr>
        <w:t> </w:t>
      </w:r>
    </w:p>
    <w:p w14:paraId="37AA87B3" w14:textId="77777777" w:rsidR="00397928" w:rsidRPr="00397928" w:rsidRDefault="00397928" w:rsidP="00397928">
      <w:pPr>
        <w:widowControl/>
        <w:jc w:val="center"/>
        <w:rPr>
          <w:rFonts w:ascii="仿宋" w:eastAsia="仿宋" w:hAnsi="仿宋" w:cs="宋体" w:hint="eastAsia"/>
          <w:color w:val="484848"/>
          <w:kern w:val="0"/>
          <w:sz w:val="32"/>
          <w:szCs w:val="32"/>
        </w:rPr>
      </w:pPr>
      <w:r w:rsidRPr="00397928">
        <w:rPr>
          <w:rFonts w:ascii="微软雅黑" w:eastAsia="微软雅黑" w:hAnsi="微软雅黑" w:cs="宋体" w:hint="eastAsia"/>
          <w:b/>
          <w:bCs/>
          <w:color w:val="484848"/>
          <w:kern w:val="0"/>
          <w:sz w:val="44"/>
          <w:szCs w:val="44"/>
        </w:rPr>
        <w:t>2021年纠正医药购销领域和医疗服务中不正之风</w:t>
      </w:r>
      <w:r w:rsidRPr="00397928">
        <w:rPr>
          <w:rFonts w:ascii="微软雅黑" w:eastAsia="微软雅黑" w:hAnsi="微软雅黑" w:cs="宋体" w:hint="eastAsia"/>
          <w:b/>
          <w:bCs/>
          <w:color w:val="484848"/>
          <w:kern w:val="0"/>
          <w:sz w:val="44"/>
          <w:szCs w:val="44"/>
        </w:rPr>
        <w:br/>
        <w:t>专项治理工作要点任务分工表</w:t>
      </w:r>
    </w:p>
    <w:tbl>
      <w:tblPr>
        <w:tblW w:w="0" w:type="auto"/>
        <w:jc w:val="center"/>
        <w:tblCellMar>
          <w:left w:w="0" w:type="dxa"/>
          <w:right w:w="0" w:type="dxa"/>
        </w:tblCellMar>
        <w:tblLook w:val="04A0" w:firstRow="1" w:lastRow="0" w:firstColumn="1" w:lastColumn="0" w:noHBand="0" w:noVBand="1"/>
      </w:tblPr>
      <w:tblGrid>
        <w:gridCol w:w="682"/>
        <w:gridCol w:w="1572"/>
        <w:gridCol w:w="3232"/>
        <w:gridCol w:w="1742"/>
        <w:gridCol w:w="1058"/>
      </w:tblGrid>
      <w:tr w:rsidR="00397928" w:rsidRPr="00397928" w14:paraId="7C015282" w14:textId="77777777" w:rsidTr="00397928">
        <w:trPr>
          <w:trHeight w:val="632"/>
          <w:jc w:val="center"/>
        </w:trPr>
        <w:tc>
          <w:tcPr>
            <w:tcW w:w="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24A8F5" w14:textId="77777777" w:rsidR="00397928" w:rsidRPr="00397928" w:rsidRDefault="00397928" w:rsidP="00397928">
            <w:pPr>
              <w:widowControl/>
              <w:spacing w:line="480" w:lineRule="atLeast"/>
              <w:jc w:val="center"/>
              <w:rPr>
                <w:rFonts w:ascii="Calibri" w:eastAsia="微软雅黑" w:hAnsi="Calibri" w:cs="宋体" w:hint="eastAsia"/>
                <w:color w:val="484848"/>
                <w:kern w:val="0"/>
                <w:szCs w:val="21"/>
              </w:rPr>
            </w:pPr>
            <w:r w:rsidRPr="00397928">
              <w:rPr>
                <w:rFonts w:ascii="仿宋" w:eastAsia="仿宋" w:hAnsi="仿宋" w:cs="宋体" w:hint="eastAsia"/>
                <w:b/>
                <w:bCs/>
                <w:color w:val="484848"/>
                <w:kern w:val="0"/>
                <w:sz w:val="32"/>
                <w:szCs w:val="32"/>
              </w:rPr>
              <w:lastRenderedPageBreak/>
              <w:t>序号</w:t>
            </w:r>
          </w:p>
        </w:tc>
        <w:tc>
          <w:tcPr>
            <w:tcW w:w="88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728B0F"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b/>
                <w:bCs/>
                <w:color w:val="484848"/>
                <w:kern w:val="0"/>
                <w:sz w:val="32"/>
                <w:szCs w:val="32"/>
              </w:rPr>
              <w:t>重点任务</w:t>
            </w:r>
          </w:p>
        </w:tc>
        <w:tc>
          <w:tcPr>
            <w:tcW w:w="3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4D7FF0"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b/>
                <w:bCs/>
                <w:color w:val="484848"/>
                <w:kern w:val="0"/>
                <w:sz w:val="32"/>
                <w:szCs w:val="32"/>
              </w:rPr>
              <w:t>责任单位</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31EA97"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b/>
                <w:bCs/>
                <w:color w:val="484848"/>
                <w:kern w:val="0"/>
                <w:sz w:val="32"/>
                <w:szCs w:val="32"/>
              </w:rPr>
              <w:t>完成时限</w:t>
            </w:r>
          </w:p>
        </w:tc>
      </w:tr>
      <w:tr w:rsidR="00397928" w:rsidRPr="00397928" w14:paraId="392FCBC5" w14:textId="77777777" w:rsidTr="00397928">
        <w:trPr>
          <w:trHeight w:val="1636"/>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73325"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1FE43"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498438CA"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70837F29"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7FB249AB"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坚决维护疫苗接种工作顺利实施</w:t>
            </w:r>
          </w:p>
          <w:p w14:paraId="75C11609"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0B774D49"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7ADCA04A" w14:textId="77777777" w:rsidR="00397928" w:rsidRPr="00397928" w:rsidRDefault="00397928" w:rsidP="00397928">
            <w:pPr>
              <w:widowControl/>
              <w:shd w:val="clear" w:color="auto" w:fill="FFFFFF"/>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加强重点省份的医疗物资质量专项督导。深入开展打击涉疫苗犯罪专项行动，依法严厉打击疫苗领域制假售假、非法经营、走私，以及疫苗接种过程中发生的非法行医和以疫苗为幌子进行诈骗等犯罪行为。</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E2E9D" w14:textId="77777777" w:rsidR="00397928" w:rsidRPr="00397928" w:rsidRDefault="00397928" w:rsidP="00397928">
            <w:pPr>
              <w:widowControl/>
              <w:spacing w:line="480" w:lineRule="atLeast"/>
              <w:jc w:val="lef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3E4F476E"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国家卫生健康委、国家市场监管总局、公安部、国家中医药局、国家药监局按职责分别牵头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40D53"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12月底前</w:t>
            </w:r>
          </w:p>
        </w:tc>
      </w:tr>
      <w:tr w:rsidR="00397928" w:rsidRPr="00397928" w14:paraId="595917C6"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1B42"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2</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7A9E3"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打击核酸检测领域违法违规行为</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5A8D4D7E"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加强核酸检测管理，鼓励同时提供单样检测和混样检测服务，并在醒目位置公示核酸检测价格，严禁虚标价格或超标准收费，严厉打击以快速核酸检测为名实施的诈骗或故意篡改核酸</w:t>
            </w:r>
            <w:r w:rsidRPr="00397928">
              <w:rPr>
                <w:rFonts w:ascii="仿宋" w:eastAsia="仿宋" w:hAnsi="仿宋" w:cs="宋体" w:hint="eastAsia"/>
                <w:color w:val="484848"/>
                <w:kern w:val="0"/>
                <w:sz w:val="32"/>
                <w:szCs w:val="32"/>
              </w:rPr>
              <w:lastRenderedPageBreak/>
              <w:t>检测证明等违法行为。</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2C76B"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国家卫生健康委、公安部、国家市场监督管理总局和国家中医药局按职责分别牵头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93C40"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12月底前</w:t>
            </w:r>
          </w:p>
        </w:tc>
      </w:tr>
      <w:tr w:rsidR="00397928" w:rsidRPr="00397928" w14:paraId="6E1DE596"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1ED6E"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3</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E8161"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50266012"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深入开展定点医疗机构规范使用医保基金专项治理</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6B4079B7"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A3FE4"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国家医保局牵头，国家卫生健康委、公安部、国家市场监督管理总局和国家中医药局配合</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1E293"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12月底前</w:t>
            </w:r>
          </w:p>
        </w:tc>
      </w:tr>
      <w:tr w:rsidR="00397928" w:rsidRPr="00397928" w14:paraId="4C4CDC08"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D9093"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4</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00C3B"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持续整治收受“红包”等医疗乱象</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2C01E915"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巩固专项治理成效，完善回访制度、畅通举报途径、加强线索查办，纠治收受“红包”、术中加项、“持刀加价”、小病大治、</w:t>
            </w:r>
            <w:r w:rsidRPr="00397928">
              <w:rPr>
                <w:rFonts w:ascii="仿宋" w:eastAsia="仿宋" w:hAnsi="仿宋" w:cs="宋体" w:hint="eastAsia"/>
                <w:color w:val="484848"/>
                <w:kern w:val="0"/>
                <w:sz w:val="32"/>
                <w:szCs w:val="32"/>
              </w:rPr>
              <w:lastRenderedPageBreak/>
              <w:t>重复检查、捆绑推销药品耗材、将普通食品冒充特医食品推荐给患者、医疗机构内宣传和销售母乳代用品等行为，切实清除影响群众就医获得感的行风问题。</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7A690"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国家卫生健康委、国家市场监管总局和国家中医药局按职</w:t>
            </w:r>
            <w:r w:rsidRPr="00397928">
              <w:rPr>
                <w:rFonts w:ascii="仿宋" w:eastAsia="仿宋" w:hAnsi="仿宋" w:cs="宋体" w:hint="eastAsia"/>
                <w:color w:val="484848"/>
                <w:kern w:val="0"/>
                <w:sz w:val="32"/>
                <w:szCs w:val="32"/>
              </w:rPr>
              <w:lastRenderedPageBreak/>
              <w:t>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DDDA6"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12月底前</w:t>
            </w:r>
          </w:p>
        </w:tc>
      </w:tr>
      <w:tr w:rsidR="00397928" w:rsidRPr="00397928" w14:paraId="57CF963B"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1F79F"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5</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56AFF"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保持打击“回扣”行为高压态势</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1806A97B"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规从</w:t>
            </w:r>
            <w:r w:rsidRPr="00397928">
              <w:rPr>
                <w:rFonts w:ascii="仿宋" w:eastAsia="仿宋" w:hAnsi="仿宋" w:cs="宋体" w:hint="eastAsia"/>
                <w:color w:val="484848"/>
                <w:kern w:val="0"/>
                <w:sz w:val="32"/>
                <w:szCs w:val="32"/>
              </w:rPr>
              <w:lastRenderedPageBreak/>
              <w:t>严处理。相关企业给付回扣、捆绑推销药品耗材等商业贿赂违法线索，移交市场监管部门处理。</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09C4A"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国家卫生健康委、国家中医药局、国家市场监督管理总局按职责分别牵头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89D18"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12月底前</w:t>
            </w:r>
          </w:p>
        </w:tc>
      </w:tr>
      <w:tr w:rsidR="00397928" w:rsidRPr="00397928" w14:paraId="6A06C31A"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340A8"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6</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44419"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坚决纠正扰乱医疗服务领域行业秩序行为</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35054F78"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规范医疗机构名称，打击仿冒混淆、虚假宣传及发布违法医疗广告等行为，整治医疗美容行业使用走私贩私、假冒伪劣产品以及保健品领域乱象。深入开展卫生健康行业内扫黑除恶，严厉打击网络和线下号贩子、“黑救护”“黑医院”“黑诊所”以及威胁医务人员人身安全的违法犯罪行为，推进平安医院建设。</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68703"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国家卫生健康委、公安部、国家市场监督管理总局和国家中医药局按职责分别牵头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63E75"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12月底前</w:t>
            </w:r>
          </w:p>
        </w:tc>
      </w:tr>
      <w:tr w:rsidR="00397928" w:rsidRPr="00397928" w14:paraId="12AB0240"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77A9EB"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7</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E5E4F"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全面构建“亲清”</w:t>
            </w:r>
            <w:r w:rsidRPr="00397928">
              <w:rPr>
                <w:rFonts w:ascii="仿宋" w:eastAsia="仿宋" w:hAnsi="仿宋" w:cs="宋体" w:hint="eastAsia"/>
                <w:color w:val="484848"/>
                <w:kern w:val="0"/>
                <w:sz w:val="32"/>
                <w:szCs w:val="32"/>
              </w:rPr>
              <w:lastRenderedPageBreak/>
              <w:t>型廉洁规范的医商关系</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0734D08C"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构建“亲清”守纪的医商关系，划清交往底</w:t>
            </w:r>
            <w:r w:rsidRPr="00397928">
              <w:rPr>
                <w:rFonts w:ascii="仿宋" w:eastAsia="仿宋" w:hAnsi="仿宋" w:cs="宋体" w:hint="eastAsia"/>
                <w:color w:val="484848"/>
                <w:kern w:val="0"/>
                <w:sz w:val="32"/>
                <w:szCs w:val="32"/>
              </w:rPr>
              <w:lastRenderedPageBreak/>
              <w:t>线。严禁借助任何名义进行利益输送；严禁收受利益企业财物、接受招待、领取报酬。加强对所属人员的监督，对有关工作人员与利益相关企业相关人员交往中出现的苗头性、倾向性问题，早发现、早提醒、早纠正。利益输送相关企业违法违规线索，移交市场监管部门处理。</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14827"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国家卫生健康委、国</w:t>
            </w:r>
            <w:r w:rsidRPr="00397928">
              <w:rPr>
                <w:rFonts w:ascii="仿宋" w:eastAsia="仿宋" w:hAnsi="仿宋" w:cs="宋体" w:hint="eastAsia"/>
                <w:color w:val="484848"/>
                <w:kern w:val="0"/>
                <w:sz w:val="32"/>
                <w:szCs w:val="32"/>
              </w:rPr>
              <w:lastRenderedPageBreak/>
              <w:t>家市场监督管理总局和国家中医药局按职责分别牵头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9C9F9"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 </w:t>
            </w:r>
          </w:p>
          <w:p w14:paraId="05B62C14"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 </w:t>
            </w:r>
          </w:p>
          <w:p w14:paraId="38C5ADD8"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12月底前</w:t>
            </w:r>
          </w:p>
        </w:tc>
      </w:tr>
      <w:tr w:rsidR="00397928" w:rsidRPr="00397928" w14:paraId="4B5809EA"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20F5E"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8</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452E1"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加大不正之风案件联合惩戒力度</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3A3C5163"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纠风工作中发现的医商勾结、利益输送、商业贿赂、虚开发票、偷逃税款等违法行为及问题线索要严查快结。要依托药品和医用耗材集中采购市场，对涉案的药品和</w:t>
            </w:r>
            <w:r w:rsidRPr="00397928">
              <w:rPr>
                <w:rFonts w:ascii="仿宋" w:eastAsia="仿宋" w:hAnsi="仿宋" w:cs="宋体" w:hint="eastAsia"/>
                <w:color w:val="484848"/>
                <w:kern w:val="0"/>
                <w:sz w:val="32"/>
                <w:szCs w:val="32"/>
              </w:rPr>
              <w:lastRenderedPageBreak/>
              <w:t>耗材实施信用评级，采取限制或中止挂网、采购，披露失信信息等约束措施。</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B2007"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国家卫生健康委、国家税务总局、国家市场监管总局、国家医保局和国家中医药</w:t>
            </w:r>
            <w:r w:rsidRPr="00397928">
              <w:rPr>
                <w:rFonts w:ascii="仿宋" w:eastAsia="仿宋" w:hAnsi="仿宋" w:cs="宋体" w:hint="eastAsia"/>
                <w:color w:val="484848"/>
                <w:kern w:val="0"/>
                <w:sz w:val="32"/>
                <w:szCs w:val="32"/>
              </w:rPr>
              <w:lastRenderedPageBreak/>
              <w:t>局分别按职责牵头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876F2"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12月底前</w:t>
            </w:r>
          </w:p>
        </w:tc>
      </w:tr>
      <w:tr w:rsidR="00397928" w:rsidRPr="00397928" w14:paraId="67D4B52D"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13459"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9</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1E1BE"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高位引领推动纠风工作落地见效</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06FE24B2"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持续加强党对纠风工作的全面领导，深入落实纠风工作主体责任，强化行业监管和内部治理。不断提升部门间联动协作效能，探索专业领域由专业部门牵头，机制单位配合的“专项</w:t>
            </w:r>
            <w:r w:rsidRPr="00397928">
              <w:rPr>
                <w:rFonts w:ascii="微软雅黑" w:eastAsia="微软雅黑" w:hAnsi="微软雅黑" w:cs="宋体" w:hint="eastAsia"/>
                <w:color w:val="484848"/>
                <w:kern w:val="0"/>
                <w:sz w:val="32"/>
                <w:szCs w:val="32"/>
              </w:rPr>
              <w:t>+</w:t>
            </w:r>
            <w:r w:rsidRPr="00397928">
              <w:rPr>
                <w:rFonts w:ascii="仿宋" w:eastAsia="仿宋" w:hAnsi="仿宋" w:cs="宋体" w:hint="eastAsia"/>
                <w:color w:val="484848"/>
                <w:kern w:val="0"/>
                <w:sz w:val="32"/>
                <w:szCs w:val="32"/>
              </w:rPr>
              <w:t>”工作模式。充分发挥医改领导小组秘书处职责，强化“三医联动”，将医疗、医保、医药</w:t>
            </w:r>
            <w:r w:rsidRPr="00397928">
              <w:rPr>
                <w:rFonts w:ascii="微软雅黑" w:eastAsia="微软雅黑" w:hAnsi="微软雅黑" w:cs="宋体" w:hint="eastAsia"/>
                <w:color w:val="484848"/>
                <w:kern w:val="0"/>
                <w:sz w:val="32"/>
                <w:szCs w:val="32"/>
              </w:rPr>
              <w:t>3</w:t>
            </w:r>
            <w:r w:rsidRPr="00397928">
              <w:rPr>
                <w:rFonts w:ascii="仿宋" w:eastAsia="仿宋" w:hAnsi="仿宋" w:cs="宋体" w:hint="eastAsia"/>
                <w:color w:val="484848"/>
                <w:kern w:val="0"/>
                <w:sz w:val="32"/>
                <w:szCs w:val="32"/>
              </w:rPr>
              <w:t>方面行风建设一体研究、一体推进。在落实纠风要点过程中，要注意选树行业作风先进典型，充分</w:t>
            </w:r>
            <w:r w:rsidRPr="00397928">
              <w:rPr>
                <w:rFonts w:ascii="仿宋" w:eastAsia="仿宋" w:hAnsi="仿宋" w:cs="宋体" w:hint="eastAsia"/>
                <w:color w:val="484848"/>
                <w:kern w:val="0"/>
                <w:sz w:val="32"/>
                <w:szCs w:val="32"/>
              </w:rPr>
              <w:lastRenderedPageBreak/>
              <w:t>发挥先进典型的激励、示范和导向作用</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27F14"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lastRenderedPageBreak/>
              <w:t>国家卫生健康委牵头，机制成员单位按职责共同推进</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207DE"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12月底前</w:t>
            </w:r>
          </w:p>
        </w:tc>
      </w:tr>
      <w:tr w:rsidR="00397928" w:rsidRPr="00397928" w14:paraId="43E33D8C" w14:textId="77777777" w:rsidTr="00397928">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75DE8"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10</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A6FF5" w14:textId="77777777" w:rsidR="00397928" w:rsidRPr="00397928" w:rsidRDefault="00397928" w:rsidP="00397928">
            <w:pPr>
              <w:widowControl/>
              <w:spacing w:line="480" w:lineRule="atLeast"/>
              <w:jc w:val="center"/>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进一步完善行风管理制度</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124612AD"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出台覆盖范围更广、操作性更强的医疗卫生“九不准”升级版，参照《中国共产党纪律处分条例》《公职人员政务处分法》《执业医师法》等党内法规和法律法规制定处理办法等相关制度，细化行为内容，配套对应罚则。指导各地各级卫生健康部门和医疗卫生机构，制定贯彻落实“九不准”升级版的具体办法，确保政策层层细化、层层落地。</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73650"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国家卫生健康委牵头，机制成员单位共同推进</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B6F22" w14:textId="77777777" w:rsidR="00397928" w:rsidRPr="00397928" w:rsidRDefault="00397928" w:rsidP="00397928">
            <w:pPr>
              <w:widowControl/>
              <w:spacing w:line="480" w:lineRule="atLeast"/>
              <w:rPr>
                <w:rFonts w:ascii="Calibri" w:eastAsia="微软雅黑" w:hAnsi="Calibri" w:cs="宋体"/>
                <w:color w:val="484848"/>
                <w:kern w:val="0"/>
                <w:szCs w:val="21"/>
              </w:rPr>
            </w:pPr>
            <w:r w:rsidRPr="00397928">
              <w:rPr>
                <w:rFonts w:ascii="仿宋" w:eastAsia="仿宋" w:hAnsi="仿宋" w:cs="宋体" w:hint="eastAsia"/>
                <w:color w:val="484848"/>
                <w:kern w:val="0"/>
                <w:sz w:val="32"/>
                <w:szCs w:val="32"/>
              </w:rPr>
              <w:t>6月底前</w:t>
            </w:r>
          </w:p>
        </w:tc>
      </w:tr>
    </w:tbl>
    <w:p w14:paraId="46F475B8" w14:textId="77777777" w:rsidR="00002C24" w:rsidRDefault="00002C24"/>
    <w:sectPr w:rsidR="00002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28"/>
    <w:rsid w:val="00002C24"/>
    <w:rsid w:val="0039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8CF7"/>
  <w15:chartTrackingRefBased/>
  <w15:docId w15:val="{0B75B069-8AB4-45FC-AAF2-1D1AE5D9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11716">
      <w:bodyDiv w:val="1"/>
      <w:marLeft w:val="0"/>
      <w:marRight w:val="0"/>
      <w:marTop w:val="0"/>
      <w:marBottom w:val="0"/>
      <w:divBdr>
        <w:top w:val="none" w:sz="0" w:space="0" w:color="auto"/>
        <w:left w:val="none" w:sz="0" w:space="0" w:color="auto"/>
        <w:bottom w:val="none" w:sz="0" w:space="0" w:color="auto"/>
        <w:right w:val="none" w:sz="0" w:space="0" w:color="auto"/>
      </w:divBdr>
      <w:divsChild>
        <w:div w:id="327753681">
          <w:marLeft w:val="0"/>
          <w:marRight w:val="0"/>
          <w:marTop w:val="270"/>
          <w:marBottom w:val="0"/>
          <w:divBdr>
            <w:top w:val="none" w:sz="0" w:space="0" w:color="auto"/>
            <w:left w:val="none" w:sz="0" w:space="0" w:color="auto"/>
            <w:bottom w:val="single" w:sz="6" w:space="0" w:color="E5E5E5"/>
            <w:right w:val="none" w:sz="0" w:space="0" w:color="auto"/>
          </w:divBdr>
          <w:divsChild>
            <w:div w:id="1021972942">
              <w:marLeft w:val="0"/>
              <w:marRight w:val="0"/>
              <w:marTop w:val="0"/>
              <w:marBottom w:val="0"/>
              <w:divBdr>
                <w:top w:val="none" w:sz="0" w:space="0" w:color="auto"/>
                <w:left w:val="none" w:sz="0" w:space="0" w:color="auto"/>
                <w:bottom w:val="none" w:sz="0" w:space="0" w:color="auto"/>
                <w:right w:val="none" w:sz="0" w:space="0" w:color="auto"/>
              </w:divBdr>
            </w:div>
          </w:divsChild>
        </w:div>
        <w:div w:id="211767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2021-04-28T09:12:00Z</dcterms:created>
  <dcterms:modified xsi:type="dcterms:W3CDTF">2021-04-28T09:13:00Z</dcterms:modified>
</cp:coreProperties>
</file>