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p>
    <w:p>
      <w:pPr>
        <w:pageBreakBefore w:val="0"/>
        <w:widowControl w:val="0"/>
        <w:bidi w:val="0"/>
        <w:spacing w:before="0" w:after="0" w:line="440" w:lineRule="exact"/>
        <w:ind w:firstLine="0"/>
        <w:jc w:val="center"/>
      </w:pPr>
      <w:bookmarkStart w:id="0" w:name="_GoBack"/>
      <w:r>
        <w:rPr>
          <w:rFonts w:ascii="宋体" w:hAnsi="宋体" w:eastAsia="宋体" w:cs="宋体"/>
          <w:b/>
          <w:sz w:val="44"/>
        </w:rPr>
        <w:t>中华人民共和国国民经济和社会发展第十四个五年规划和2035年远景目标纲要</w:t>
      </w:r>
    </w:p>
    <w:bookmarkEnd w:id="0"/>
    <w:p>
      <w:pPr>
        <w:pageBreakBefore w:val="0"/>
        <w:widowControl w:val="0"/>
        <w:bidi w:val="0"/>
        <w:spacing w:before="0" w:after="0" w:line="440" w:lineRule="exact"/>
        <w:ind w:firstLine="0"/>
        <w:jc w:val="center"/>
      </w:pPr>
      <w:r>
        <w:pict>
          <v:rect id="_x0000_i1029" o:spt="1" style="height:2.25pt;width:450pt;" fillcolor="#FF0000" filled="t" stroked="f" coordsize="21600,21600" o:hr="t" o:hrstd="t" o:hrnoshade="t" o:hrpct="0" o:hralign="center">
            <v:path/>
            <v:fill on="t" focussize="0,0"/>
            <v:stroke on="f"/>
            <v:imagedata o:title=""/>
            <o:lock v:ext="edit"/>
            <w10:wrap type="none"/>
            <w10:anchorlock/>
          </v:rect>
        </w:pict>
      </w:r>
    </w:p>
    <w:p>
      <w:pPr>
        <w:bidi w:val="0"/>
        <w:spacing w:after="280" w:afterAutospacing="1"/>
        <w:jc w:val="left"/>
      </w:pPr>
    </w:p>
    <w:p>
      <w:pPr>
        <w:widowControl w:val="0"/>
        <w:bidi w:val="0"/>
        <w:spacing w:after="280" w:afterAutospacing="1" w:line="440" w:lineRule="exact"/>
        <w:ind w:firstLine="0"/>
        <w:jc w:val="center"/>
      </w:pPr>
      <w:r>
        <w:rPr>
          <w:rFonts w:ascii="宋体" w:hAnsi="宋体" w:eastAsia="宋体" w:cs="宋体"/>
          <w:b w:val="0"/>
          <w:color w:val="000000"/>
          <w:sz w:val="25"/>
          <w:u w:val="none"/>
        </w:rPr>
        <w:t>中华人民共和国国民经济和社会发展第十四个五年规划和2035年远景目标纲要</w:t>
      </w:r>
    </w:p>
    <w:p>
      <w:pPr>
        <w:widowControl w:val="0"/>
        <w:bidi w:val="0"/>
        <w:spacing w:after="280" w:afterAutospacing="1" w:line="440" w:lineRule="exact"/>
        <w:ind w:firstLine="0"/>
        <w:jc w:val="center"/>
        <w:rPr>
          <w:rFonts w:ascii="宋体" w:hAnsi="宋体" w:eastAsia="宋体" w:cs="宋体"/>
          <w:b w:val="0"/>
          <w:color w:val="000000"/>
          <w:sz w:val="25"/>
          <w:u w:val="none"/>
        </w:rPr>
      </w:pPr>
      <w:r>
        <w:rPr>
          <w:rFonts w:ascii="宋体" w:hAnsi="宋体" w:eastAsia="宋体" w:cs="宋体"/>
          <w:b w:val="0"/>
          <w:color w:val="000000"/>
          <w:sz w:val="25"/>
          <w:u w:val="none"/>
        </w:rPr>
        <w:t>（2021年3月11日第十三届全国人民代表大会第四次会议批准）</w:t>
      </w:r>
    </w:p>
    <w:p>
      <w:pPr>
        <w:widowControl w:val="0"/>
        <w:bidi w:val="0"/>
        <w:spacing w:after="280" w:afterAutospacing="1" w:line="440" w:lineRule="exact"/>
        <w:ind w:firstLine="0"/>
        <w:jc w:val="center"/>
        <w:rPr>
          <w:rFonts w:ascii="宋体" w:hAnsi="宋体" w:eastAsia="宋体" w:cs="宋体"/>
          <w:b w:val="0"/>
          <w:color w:val="000000"/>
          <w:sz w:val="25"/>
          <w:u w:val="none"/>
        </w:rPr>
      </w:pPr>
    </w:p>
    <w:p>
      <w:pPr>
        <w:keepLines w:val="0"/>
        <w:widowControl w:val="0"/>
        <w:bidi w:val="0"/>
        <w:spacing w:before="0" w:after="0" w:afterAutospacing="1" w:line="440" w:lineRule="exact"/>
        <w:ind w:firstLine="0"/>
        <w:jc w:val="center"/>
        <w:rPr>
          <w:rFonts w:ascii="宋体" w:hAnsi="宋体" w:eastAsia="宋体" w:cs="宋体"/>
          <w:b w:val="0"/>
          <w:color w:val="000000"/>
          <w:sz w:val="25"/>
          <w:u w:val="none"/>
        </w:rPr>
      </w:pPr>
      <w:r>
        <w:rPr>
          <w:rFonts w:ascii="宋体" w:hAnsi="宋体" w:eastAsia="宋体" w:cs="宋体"/>
          <w:b w:val="0"/>
          <w:color w:val="000000"/>
          <w:sz w:val="25"/>
          <w:u w:val="none"/>
        </w:rPr>
        <w:t>目录</w:t>
      </w:r>
    </w:p>
    <w:p>
      <w:pPr>
        <w:keepLines w:val="0"/>
        <w:widowControl w:val="0"/>
        <w:bidi w:val="0"/>
        <w:spacing w:before="0" w:after="0" w:afterAutospacing="1" w:line="440" w:lineRule="exact"/>
        <w:ind w:firstLine="0"/>
        <w:jc w:val="center"/>
        <w:rPr>
          <w:rFonts w:ascii="宋体" w:hAnsi="宋体" w:eastAsia="宋体" w:cs="宋体"/>
          <w:b w:val="0"/>
          <w:color w:val="000000"/>
          <w:sz w:val="25"/>
          <w:u w:val="none"/>
        </w:rPr>
      </w:pP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第一篇　开启全面建设社会主义现代化国家新征程</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第一章　发展环境</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第二章　指导方针</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第三章　主要目标</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第二篇　坚持创新驱动发展　全面塑造发展新优势</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第四章　强化国家战略科技力量</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第五章　提升企业技术创新能力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第六章　激发人才创新活力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第七章　完善科技创新体制机制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第三篇　加快发展现代产业体系　巩固壮大实体经济根基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第八章　深入实施制造强国战略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第九章　发展壮大战略性新兴产业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第十章　促进服务业繁荣发展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第十一章　建设现代化基础设施体系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第四篇　形成强大国内市场　构建新发展格局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第十二章　畅通国内大循环</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第十三章　促进国内国际双循环</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第十四章　加快培育完整内需体系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第五篇　加快数字化发展　建设数字中国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第十五章　打造数字经济新优势</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第十六章　加快数字社会建设步伐</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第十七章　提高数字政府建设水平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第十八章　营造良好数字生态</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第六篇　全面深化改革　构建高水平社会主义市场经济体制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第十九章　激发各类市场主体活力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第二十章　建设高标准市场体系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第二十一章　建立现代财税金融体制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第二十二章　提升政府经济治理能力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第七篇　坚持农业农村优先发展　全面推进乡村振兴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第二十三章　提高农业质量效益和竞争力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第二十四章　实施乡村建设行动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第二十五章　健全城乡融合发展体制机制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第二十六章　实现巩固拓展脱贫攻坚成果同乡村振兴有效衔接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第八篇　完善新型城镇化战略　提升城镇化发展质量</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第二十七章　加快农业转移人口市民化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第二十八章　完善城镇化空间布局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第二十九章　全面提升城市品质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第九篇　优化区域经济布局　促进区域协调发展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第三十章　优化国土空间开发保护格局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第三十一章　深入实施区域重大战略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第三十二章　深入实施区域协调发展战略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第三十三章　积极拓展海洋经济发展空间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第十篇　发展社会主义先进文化　提升国家文化软实力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第三十四章　提高社会文明程度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第三十五章　提升公共文化服务水平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第三十六章　健全现代文化产业体系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第十一篇　推动绿色发展　促进人与自然和谐共生</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第三十七章　提升生态系统质量和稳定性</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第三十八章　持续改善环境质量</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第三十九章　加快发展方式绿色转型</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第十二篇　实行高水平对外开放　开拓合作共赢新局面</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第四十章　建设更高水平开放型经济新体制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第四十一章　推动共建“一带一路”高质量发展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第四十二章　积极参与全球治理体系改革和建设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第十三篇　提升国民素质　促进人的全面发展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第四十三章　建设高质量教育体系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第四十四章　全面推进健康中国建设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第四十五章　实施积极应对人口老龄化国家战略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第十四篇　增进民生福祉　提升共建共治共享水平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第四十六章　健全国家公共服务制度体系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第四十七章　实施就业优先战略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第四十八章　优化收入分配结构</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第四十九章　健全多层次社会保障体系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第五十章　保障妇女未成年人和残疾人基本权益</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第五十一章　构建基层社会治理新格局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第十五篇　统筹发展和安全　建设更高水平的平安中国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第五十二章　加强国家安全体系和能力建设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第五十三章　强化国家经济安全保障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第五十四章　全面提高公共安全保障能力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第五十五章　维护社会稳定和安全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第十六篇　加快国防和军队现代化　实现富国和强军相统一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第五十六章　提高国防和军队现代化质量效益</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第五十七章　促进国防实力和经济实力同步提升</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第十七篇　加强社会主义民主法治建设　健全党和国家监督制度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第五十八章　发展社会主义民主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第五十九章　全面推进依法治国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第六十章　完善党和国家监督体系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第十八篇　坚持“一国两制”　推进祖国统一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第六十一章　保持香港、澳门长期繁荣稳定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第六十二章　推进两岸关系和平发展和祖国统一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第十九篇　加强规划实施保障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第六十三章　加强党中央集中统一领导</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第六十四章　健全统一规划体系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第六十五章　完善规划实施机制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中华人民共和国国民经济和社会发展第十四个五年（2021－2025年）规划和2035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第一篇　开启全面建设社会主义现代化国家新征程</w:t>
      </w:r>
      <w:r>
        <w:rPr>
          <w:rFonts w:ascii="宋体" w:hAnsi="宋体" w:eastAsia="宋体" w:cs="宋体"/>
          <w:b w:val="0"/>
          <w:color w:val="000000"/>
          <w:sz w:val="25"/>
          <w:u w:val="none"/>
        </w:rPr>
        <w:t>　　“十四五”时期是我国全面建成小康社会、实现第一个百年奋斗目标之后，乘势而上开启全面建设社会主义现代化国家新征程、向第二个百年奋斗目标进军的第一个五年。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第一章　发展环境</w:t>
      </w:r>
      <w:r>
        <w:rPr>
          <w:rFonts w:ascii="宋体" w:hAnsi="宋体" w:eastAsia="宋体" w:cs="宋体"/>
          <w:b w:val="0"/>
          <w:color w:val="000000"/>
          <w:sz w:val="25"/>
          <w:u w:val="none"/>
        </w:rPr>
        <w:t>　　我国进入新发展阶段，发展基础更加坚实，发展条件深刻变化，进一步发展面临新的机遇和挑战。</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决胜全面建成小康社会取得决定性成就</w:t>
      </w:r>
      <w:r>
        <w:rPr>
          <w:rFonts w:ascii="宋体" w:hAnsi="宋体" w:eastAsia="宋体" w:cs="宋体"/>
          <w:b w:val="0"/>
          <w:color w:val="000000"/>
          <w:sz w:val="25"/>
          <w:u w:val="none"/>
        </w:rPr>
        <w:t>　　“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经济运行总体平稳，经济结构持续优化，国内生产总值突破100万亿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减贫史上的奇迹。农业现代化稳步推进，粮食年产量连续稳定在1.3万亿斤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我国发展环境面临深刻复杂变化</w:t>
      </w:r>
      <w:r>
        <w:rPr>
          <w:rFonts w:ascii="宋体" w:hAnsi="宋体" w:eastAsia="宋体" w:cs="宋体"/>
          <w:b w:val="0"/>
          <w:color w:val="000000"/>
          <w:sz w:val="25"/>
          <w:u w:val="none"/>
        </w:rPr>
        <w:t>　　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第二章　指导方针</w:t>
      </w:r>
      <w:r>
        <w:rPr>
          <w:rFonts w:ascii="宋体" w:hAnsi="宋体" w:eastAsia="宋体" w:cs="宋体"/>
          <w:b w:val="0"/>
          <w:color w:val="000000"/>
          <w:sz w:val="25"/>
          <w:u w:val="none"/>
        </w:rPr>
        <w:t>　　“十四五”时期经济社会发展，必须牢牢把握以下指导思想、原则和战略导向。</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指导思想</w:t>
      </w:r>
      <w:r>
        <w:rPr>
          <w:rFonts w:ascii="宋体" w:hAnsi="宋体" w:eastAsia="宋体" w:cs="宋体"/>
          <w:b w:val="0"/>
          <w:color w:val="000000"/>
          <w:sz w:val="25"/>
          <w:u w:val="none"/>
        </w:rPr>
        <w:t>　　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必须遵循的原则</w:t>
      </w:r>
      <w:r>
        <w:rPr>
          <w:rFonts w:ascii="宋体" w:hAnsi="宋体" w:eastAsia="宋体" w:cs="宋体"/>
          <w:b w:val="0"/>
          <w:color w:val="000000"/>
          <w:sz w:val="25"/>
          <w:u w:val="none"/>
        </w:rPr>
        <w:t>　　--坚持党的全面领导。坚持和完善党领导经济社会发展的体制机制，坚持和完善中国特色社会主义制度，不断提高贯彻新发展理念、构建新发展格局能力和水平，为实现高质量发展提供根本保证。</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坚持新发展理念。把新发展理念完整、准确、全面贯穿发展全过程和各领域，构建新发展格局，切实转变发展方式，推动质量变革、效率变革、动力变革，实现更高质量、更有效率、更加公平、更可持续、更为安全的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战略导向</w:t>
      </w:r>
      <w:r>
        <w:rPr>
          <w:rFonts w:ascii="宋体" w:hAnsi="宋体" w:eastAsia="宋体" w:cs="宋体"/>
          <w:b w:val="0"/>
          <w:color w:val="000000"/>
          <w:sz w:val="25"/>
          <w:u w:val="none"/>
        </w:rPr>
        <w:t>　　“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第三章　主要目标</w:t>
      </w:r>
      <w:r>
        <w:rPr>
          <w:rFonts w:ascii="宋体" w:hAnsi="宋体" w:eastAsia="宋体" w:cs="宋体"/>
          <w:b w:val="0"/>
          <w:color w:val="000000"/>
          <w:sz w:val="25"/>
          <w:u w:val="none"/>
        </w:rPr>
        <w:t>　　按照全面建设社会主义现代化国家的战略安排，2035年远景目标和“十四五”时期经济社会发展主要目标如下。</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2035年远景目标</w:t>
      </w:r>
      <w:r>
        <w:rPr>
          <w:rFonts w:ascii="宋体" w:hAnsi="宋体" w:eastAsia="宋体" w:cs="宋体"/>
          <w:b w:val="0"/>
          <w:color w:val="000000"/>
          <w:sz w:val="25"/>
          <w:u w:val="none"/>
        </w:rPr>
        <w:t>　　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软实力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“十四五”时期经济社会发展主要目标</w:t>
      </w:r>
      <w:r>
        <w:rPr>
          <w:rFonts w:ascii="宋体" w:hAnsi="宋体" w:eastAsia="宋体" w:cs="宋体"/>
          <w:b w:val="0"/>
          <w:color w:val="000000"/>
          <w:sz w:val="25"/>
          <w:u w:val="none"/>
        </w:rPr>
        <w:t>　　--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生态文明建设实现新进步。国土空间开发保护格局得到优化，生产生活方式绿色转型成效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提高1岁，脱贫攻坚成果巩固拓展，乡村振兴战略全面推进，全体人民共同富裕迈出坚实步伐。</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国家治理效能得到新提升。社会主义民主法治更加健全，社会公平正义进一步彰显，国家行政体系更加完善，政府作用更好发挥，行政效率和公信力显著提升，社会治理特别是基层治理水平明显提高，防范化解重大风险体制机制不断健全，突发公共事件应急处置能力显著增强，自然灾害防御水平明显提升，发展安全保障更加有力，国防和军队现代化迈出重大步伐。</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59264" behindDoc="0" locked="0" layoutInCell="1" allowOverlap="0">
            <wp:simplePos x="0" y="0"/>
            <wp:positionH relativeFrom="column">
              <wp:align>left</wp:align>
            </wp:positionH>
            <wp:positionV relativeFrom="paragraph">
              <wp:align>top</wp:align>
            </wp:positionV>
            <wp:extent cx="6188710" cy="8464550"/>
            <wp:effectExtent l="0" t="0" r="13970" b="8890"/>
            <wp:wrapTopAndBottom/>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6188710" cy="846455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第二篇　坚持创新驱动发展　全面塑造发展新优势</w:t>
      </w:r>
      <w:r>
        <w:rPr>
          <w:rFonts w:ascii="宋体" w:hAnsi="宋体" w:eastAsia="宋体" w:cs="宋体"/>
          <w:b w:val="0"/>
          <w:color w:val="000000"/>
          <w:sz w:val="25"/>
          <w:u w:val="none"/>
        </w:rPr>
        <w:t>　　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第四章　强化国家战略科技力量</w:t>
      </w:r>
      <w:r>
        <w:rPr>
          <w:rFonts w:ascii="宋体" w:hAnsi="宋体" w:eastAsia="宋体" w:cs="宋体"/>
          <w:b w:val="0"/>
          <w:color w:val="000000"/>
          <w:sz w:val="25"/>
          <w:u w:val="none"/>
        </w:rPr>
        <w:t>　　制定科技强国行动纲要，健全社会主义市场经济条件下新型举国体制，打好关键核心技术攻坚战，提高创新链整体效能。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整合优化科技资源配置</w:t>
      </w:r>
      <w:r>
        <w:rPr>
          <w:rFonts w:ascii="宋体" w:hAnsi="宋体" w:eastAsia="宋体" w:cs="宋体"/>
          <w:b w:val="0"/>
          <w:color w:val="000000"/>
          <w:sz w:val="25"/>
          <w:u w:val="none"/>
        </w:rPr>
        <w:t>　　以国家战略性需求为导向推进创新体系优化组合，加快构建以国家实验室为引领的战略科技力量。聚焦量子信息、光子与微纳电子、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加强原创性引领性科技攻关</w:t>
      </w:r>
      <w:r>
        <w:rPr>
          <w:rFonts w:ascii="宋体" w:hAnsi="宋体" w:eastAsia="宋体" w:cs="宋体"/>
          <w:b w:val="0"/>
          <w:color w:val="000000"/>
          <w:sz w:val="25"/>
          <w:u w:val="none"/>
        </w:rPr>
        <w:t>　　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0288" behindDoc="0" locked="0" layoutInCell="1" allowOverlap="0">
            <wp:simplePos x="0" y="0"/>
            <wp:positionH relativeFrom="column">
              <wp:align>left</wp:align>
            </wp:positionH>
            <wp:positionV relativeFrom="paragraph">
              <wp:align>top</wp:align>
            </wp:positionV>
            <wp:extent cx="6188710" cy="7800975"/>
            <wp:effectExtent l="0" t="0" r="13970" b="1905"/>
            <wp:wrapTopAndBottom/>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a:stretch>
                      <a:fillRect/>
                    </a:stretch>
                  </pic:blipFill>
                  <pic:spPr>
                    <a:xfrm>
                      <a:off x="0" y="0"/>
                      <a:ext cx="6188710" cy="780097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持之以恒加强基础研究</w:t>
      </w:r>
      <w:r>
        <w:rPr>
          <w:rFonts w:ascii="宋体" w:hAnsi="宋体" w:eastAsia="宋体" w:cs="宋体"/>
          <w:b w:val="0"/>
          <w:color w:val="000000"/>
          <w:sz w:val="25"/>
          <w:u w:val="none"/>
        </w:rPr>
        <w:t>　　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8%以上。建立健全符合科学规律的评价体系和激励机制，对基础研究探索实行长周期评价，创造有利于基础研究的良好科研生态。</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建设重大科技创新平台</w:t>
      </w:r>
      <w:r>
        <w:rPr>
          <w:rFonts w:ascii="宋体" w:hAnsi="宋体" w:eastAsia="宋体" w:cs="宋体"/>
          <w:b w:val="0"/>
          <w:color w:val="000000"/>
          <w:sz w:val="25"/>
          <w:u w:val="none"/>
        </w:rPr>
        <w:t>　　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1312" behindDoc="0" locked="0" layoutInCell="1" allowOverlap="0">
            <wp:simplePos x="0" y="0"/>
            <wp:positionH relativeFrom="column">
              <wp:align>left</wp:align>
            </wp:positionH>
            <wp:positionV relativeFrom="paragraph">
              <wp:align>top</wp:align>
            </wp:positionV>
            <wp:extent cx="6188710" cy="4277360"/>
            <wp:effectExtent l="0" t="0" r="13970" b="5080"/>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2"/>
                    <a:stretch>
                      <a:fillRect/>
                    </a:stretch>
                  </pic:blipFill>
                  <pic:spPr>
                    <a:xfrm>
                      <a:off x="0" y="0"/>
                      <a:ext cx="6188710" cy="427736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第五章　提升企业技术创新能力</w:t>
      </w:r>
      <w:r>
        <w:rPr>
          <w:rFonts w:ascii="宋体" w:hAnsi="宋体" w:eastAsia="宋体" w:cs="宋体"/>
          <w:b w:val="0"/>
          <w:color w:val="000000"/>
          <w:sz w:val="25"/>
          <w:u w:val="none"/>
        </w:rPr>
        <w:t>　　完善技术创新市场导向机制，强化企业创新主体地位，促进各类创新要素向企业集聚，形成以企业为主体、市场为导向、产学研用深度融合的技术创新体系。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激励企业加大研发投入</w:t>
      </w:r>
      <w:r>
        <w:rPr>
          <w:rFonts w:ascii="宋体" w:hAnsi="宋体" w:eastAsia="宋体" w:cs="宋体"/>
          <w:b w:val="0"/>
          <w:color w:val="000000"/>
          <w:sz w:val="25"/>
          <w:u w:val="none"/>
        </w:rPr>
        <w:t>　　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支持产业共性基础技术研发</w:t>
      </w:r>
      <w:r>
        <w:rPr>
          <w:rFonts w:ascii="宋体" w:hAnsi="宋体" w:eastAsia="宋体" w:cs="宋体"/>
          <w:b w:val="0"/>
          <w:color w:val="000000"/>
          <w:sz w:val="25"/>
          <w:u w:val="none"/>
        </w:rPr>
        <w:t>　　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微企业成长为创新重要发源地，推动产业链上中下游、大中小企业融通创新。鼓励有条件地方依托产业集群创办混合所有制产业技术研究院，服务区域关键共性技术研发。</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完善企业创新服务体系</w:t>
      </w:r>
      <w:r>
        <w:rPr>
          <w:rFonts w:ascii="宋体" w:hAnsi="宋体" w:eastAsia="宋体" w:cs="宋体"/>
          <w:b w:val="0"/>
          <w:color w:val="000000"/>
          <w:sz w:val="25"/>
          <w:u w:val="none"/>
        </w:rPr>
        <w:t>　　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增强科创板“硬科技”特色，提升创业板服务成长型创新创业企业功能，鼓励发展天使投资、创业投资，更好发挥创业投资引导基金和私募股权基金作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第六章　激发人才创新活力</w:t>
      </w:r>
      <w:r>
        <w:rPr>
          <w:rFonts w:ascii="宋体" w:hAnsi="宋体" w:eastAsia="宋体" w:cs="宋体"/>
          <w:b w:val="0"/>
          <w:color w:val="000000"/>
          <w:sz w:val="25"/>
          <w:u w:val="none"/>
        </w:rPr>
        <w:t>　　贯彻尊重劳动、尊重知识、尊重人才、尊重创造方针，深化人才发展体制机制改革，全方位培养、引进、用好人才，充分发挥人才第一资源的作用。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培养造就高水平人才队伍</w:t>
      </w:r>
      <w:r>
        <w:rPr>
          <w:rFonts w:ascii="宋体" w:hAnsi="宋体" w:eastAsia="宋体" w:cs="宋体"/>
          <w:b w:val="0"/>
          <w:color w:val="000000"/>
          <w:sz w:val="25"/>
          <w:u w:val="none"/>
        </w:rPr>
        <w:t>　　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激励人才更好发挥作用</w:t>
      </w:r>
      <w:r>
        <w:rPr>
          <w:rFonts w:ascii="宋体" w:hAnsi="宋体" w:eastAsia="宋体" w:cs="宋体"/>
          <w:b w:val="0"/>
          <w:color w:val="000000"/>
          <w:sz w:val="25"/>
          <w:u w:val="none"/>
        </w:rPr>
        <w:t>　　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优化创新创业创造生态</w:t>
      </w:r>
      <w:r>
        <w:rPr>
          <w:rFonts w:ascii="宋体" w:hAnsi="宋体" w:eastAsia="宋体" w:cs="宋体"/>
          <w:b w:val="0"/>
          <w:color w:val="000000"/>
          <w:sz w:val="25"/>
          <w:u w:val="none"/>
        </w:rPr>
        <w:t>　　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第七章　完善科技创新体制机制</w:t>
      </w:r>
      <w:r>
        <w:rPr>
          <w:rFonts w:ascii="宋体" w:hAnsi="宋体" w:eastAsia="宋体" w:cs="宋体"/>
          <w:b w:val="0"/>
          <w:color w:val="000000"/>
          <w:sz w:val="25"/>
          <w:u w:val="none"/>
        </w:rPr>
        <w:t>　　深入推进科技体制改革，完善国家科技治理体系，优化国家科技计划体系和运行机制，推动重点领域项目、基地、人才、资金一体化配置。</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深化科技管理体制改革</w:t>
      </w:r>
      <w:r>
        <w:rPr>
          <w:rFonts w:ascii="宋体" w:hAnsi="宋体" w:eastAsia="宋体" w:cs="宋体"/>
          <w:b w:val="0"/>
          <w:color w:val="000000"/>
          <w:sz w:val="25"/>
          <w:u w:val="none"/>
        </w:rPr>
        <w:t>　　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健全奖补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间创新资源自由有序流动机制。深入推进全面创新改革试验。</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健全知识产权保护运用体制</w:t>
      </w:r>
      <w:r>
        <w:rPr>
          <w:rFonts w:ascii="宋体" w:hAnsi="宋体" w:eastAsia="宋体" w:cs="宋体"/>
          <w:b w:val="0"/>
          <w:color w:val="000000"/>
          <w:sz w:val="25"/>
          <w:u w:val="none"/>
        </w:rPr>
        <w:t>　　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积极促进科技开放合作</w:t>
      </w:r>
      <w:r>
        <w:rPr>
          <w:rFonts w:ascii="宋体" w:hAnsi="宋体" w:eastAsia="宋体" w:cs="宋体"/>
          <w:b w:val="0"/>
          <w:color w:val="000000"/>
          <w:sz w:val="25"/>
          <w:u w:val="none"/>
        </w:rPr>
        <w:t>　　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施科学家交流计划。支持在我国境内设立国际科技组织、外籍科学家在我国科技学术组织任职。</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第三篇　加快发展现代产业体系　巩固壮大实体经济根基</w:t>
      </w:r>
      <w:r>
        <w:rPr>
          <w:rFonts w:ascii="宋体" w:hAnsi="宋体" w:eastAsia="宋体" w:cs="宋体"/>
          <w:b w:val="0"/>
          <w:color w:val="000000"/>
          <w:sz w:val="25"/>
          <w:u w:val="none"/>
        </w:rPr>
        <w:t>　　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第八章　深入实施制造强国战略</w:t>
      </w:r>
      <w:r>
        <w:rPr>
          <w:rFonts w:ascii="宋体" w:hAnsi="宋体" w:eastAsia="宋体" w:cs="宋体"/>
          <w:b w:val="0"/>
          <w:color w:val="000000"/>
          <w:sz w:val="25"/>
          <w:u w:val="none"/>
        </w:rPr>
        <w:t>　　坚持自主可控、安全高效，推进产业基础高级化、产业链现代化，保持制造业比重基本稳定，增强制造业竞争优势，推动制造业高质量发展。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加强产业基础能力建设</w:t>
      </w:r>
      <w:r>
        <w:rPr>
          <w:rFonts w:ascii="宋体" w:hAnsi="宋体" w:eastAsia="宋体" w:cs="宋体"/>
          <w:b w:val="0"/>
          <w:color w:val="000000"/>
          <w:sz w:val="25"/>
          <w:u w:val="none"/>
        </w:rPr>
        <w:t>　　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提升产业链供应链现代化水平</w:t>
      </w:r>
      <w:r>
        <w:rPr>
          <w:rFonts w:ascii="宋体" w:hAnsi="宋体" w:eastAsia="宋体" w:cs="宋体"/>
          <w:b w:val="0"/>
          <w:color w:val="000000"/>
          <w:sz w:val="25"/>
          <w:u w:val="none"/>
        </w:rPr>
        <w:t>　　坚持经济性和安全性相结合，补齐短板、锻造长板，分行业做好供应链战略设计和精准施策，形成具有更强创新力、更高附加值、更安全可靠的产业链供应链。推进制造业补链强链，强化资源、技术、装备支撑，加强国际产业安全合作，推动产业链供应链多元化。立足产业规模优势、配套优势和部分领域先发优势，巩固提升高铁、电力装备、新能源、船舶等领域全产业链竞争力，从符合未来产业变革方向的整机产品入手打造战略性全局性产业链。优化区域产业链布局，引导产业链关键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推动制造业优化升级</w:t>
      </w:r>
      <w:r>
        <w:rPr>
          <w:rFonts w:ascii="宋体" w:hAnsi="宋体" w:eastAsia="宋体" w:cs="宋体"/>
          <w:b w:val="0"/>
          <w:color w:val="000000"/>
          <w:sz w:val="25"/>
          <w:u w:val="none"/>
        </w:rPr>
        <w:t>　　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实施制造业降本减负行动</w:t>
      </w:r>
      <w:r>
        <w:rPr>
          <w:rFonts w:ascii="宋体" w:hAnsi="宋体" w:eastAsia="宋体" w:cs="宋体"/>
          <w:b w:val="0"/>
          <w:color w:val="000000"/>
          <w:sz w:val="25"/>
          <w:u w:val="none"/>
        </w:rPr>
        <w:t>　　强化要素保障和高效服务，巩固拓展减税降费成果，降低企业生产经营成本，提升制造业根植性和竞争力。推动工业用地提容增效，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企政策制定制度，支持建设中小企业信息、技术、进出口和数字化转型综合性服务平台。</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2336" behindDoc="0" locked="0" layoutInCell="1" allowOverlap="0">
            <wp:simplePos x="0" y="0"/>
            <wp:positionH relativeFrom="column">
              <wp:align>left</wp:align>
            </wp:positionH>
            <wp:positionV relativeFrom="paragraph">
              <wp:align>top</wp:align>
            </wp:positionV>
            <wp:extent cx="4894580" cy="8863330"/>
            <wp:effectExtent l="0" t="0" r="12700" b="6350"/>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4894580" cy="886333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第九章　发展壮大战略性新兴产业</w:t>
      </w:r>
      <w:r>
        <w:rPr>
          <w:rFonts w:ascii="宋体" w:hAnsi="宋体" w:eastAsia="宋体" w:cs="宋体"/>
          <w:b w:val="0"/>
          <w:color w:val="000000"/>
          <w:sz w:val="25"/>
          <w:u w:val="none"/>
        </w:rPr>
        <w:t>　　着眼于抢占未来产业发展先机，培育先导性和支柱性产业，推动战略性新兴产业融合化、集群化、生态化发展，战略性新兴产业增加值占GDP比重超过17%。</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构筑产业体系新支柱</w:t>
      </w:r>
      <w:r>
        <w:rPr>
          <w:rFonts w:ascii="宋体" w:hAnsi="宋体" w:eastAsia="宋体" w:cs="宋体"/>
          <w:b w:val="0"/>
          <w:color w:val="000000"/>
          <w:sz w:val="25"/>
          <w:u w:val="none"/>
        </w:rPr>
        <w:t>　　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前瞻谋划未来产业</w:t>
      </w:r>
      <w:r>
        <w:rPr>
          <w:rFonts w:ascii="宋体" w:hAnsi="宋体" w:eastAsia="宋体" w:cs="宋体"/>
          <w:b w:val="0"/>
          <w:color w:val="000000"/>
          <w:sz w:val="25"/>
          <w:u w:val="none"/>
        </w:rPr>
        <w:t>　　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第十章　促进服务业繁荣发展</w:t>
      </w:r>
      <w:r>
        <w:rPr>
          <w:rFonts w:ascii="宋体" w:hAnsi="宋体" w:eastAsia="宋体" w:cs="宋体"/>
          <w:b w:val="0"/>
          <w:color w:val="000000"/>
          <w:sz w:val="25"/>
          <w:u w:val="none"/>
        </w:rPr>
        <w:t>　　聚焦产业转型升级和居民消费升级需要，扩大服务业有效供给，提高服务效率和服务品质，构建优质高效、结构优化、竞争力强的服务产业新体系。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推动生产性服务业融合化发展</w:t>
      </w:r>
      <w:r>
        <w:rPr>
          <w:rFonts w:ascii="宋体" w:hAnsi="宋体" w:eastAsia="宋体" w:cs="宋体"/>
          <w:b w:val="0"/>
          <w:color w:val="000000"/>
          <w:sz w:val="25"/>
          <w:u w:val="none"/>
        </w:rPr>
        <w:t>　　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加快生活性服务业品质化发展</w:t>
      </w:r>
      <w:r>
        <w:rPr>
          <w:rFonts w:ascii="宋体" w:hAnsi="宋体" w:eastAsia="宋体" w:cs="宋体"/>
          <w:b w:val="0"/>
          <w:color w:val="000000"/>
          <w:sz w:val="25"/>
          <w:u w:val="none"/>
        </w:rPr>
        <w:t>　　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全渠道满足消费需求。加快完善养老、家政等服务标准，健全生活性服务业认证认可制度，推动生活性服务业诚信化职业化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深化服务领域改革开放</w:t>
      </w:r>
      <w:r>
        <w:rPr>
          <w:rFonts w:ascii="宋体" w:hAnsi="宋体" w:eastAsia="宋体" w:cs="宋体"/>
          <w:b w:val="0"/>
          <w:color w:val="000000"/>
          <w:sz w:val="25"/>
          <w:u w:val="none"/>
        </w:rPr>
        <w:t>　　扩大服务业对内对外开放，进一步放宽市场准入，全面清理不合理的限制条件，鼓励社会力量扩大多元化多层次服务供给。完善支持服务业发展的政策体系，创新适应服务新业态新模式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第十一章　建设现代化基础设施体系</w:t>
      </w:r>
      <w:r>
        <w:rPr>
          <w:rFonts w:ascii="宋体" w:hAnsi="宋体" w:eastAsia="宋体" w:cs="宋体"/>
          <w:b w:val="0"/>
          <w:color w:val="000000"/>
          <w:sz w:val="25"/>
          <w:u w:val="none"/>
        </w:rPr>
        <w:t>　　统筹推进传统基础设施和新型基础设施建设，打造系统完备、高效实用、智能绿色、安全可靠的现代化基础设施体系。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加快建设新型基础设施</w:t>
      </w:r>
      <w:r>
        <w:rPr>
          <w:rFonts w:ascii="宋体" w:hAnsi="宋体" w:eastAsia="宋体" w:cs="宋体"/>
          <w:b w:val="0"/>
          <w:color w:val="000000"/>
          <w:sz w:val="25"/>
          <w:u w:val="none"/>
        </w:rPr>
        <w:t>　　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支持固移融合、宽窄结合的物联接入能力。加快构建全国一体化大数据中心体系，强化算力统筹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加快建设交通强国</w:t>
      </w:r>
      <w:r>
        <w:rPr>
          <w:rFonts w:ascii="宋体" w:hAnsi="宋体" w:eastAsia="宋体" w:cs="宋体"/>
          <w:b w:val="0"/>
          <w:color w:val="000000"/>
          <w:sz w:val="25"/>
          <w:u w:val="none"/>
        </w:rPr>
        <w:t>　　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速铁路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圈交通一体化，加快城际铁路、市域（郊）铁路建设，构建高速公路环线系统，有序推进城市轨道交通发展。提高交通通达深度，推动区域性铁路建设，加快沿边抵边公路建设，继续推进“四好农村路”建设，完善道路安全设施。构建多层级、一体化综合交通枢纽体系，优化枢纽场站布局、促进集约综合开发，完善集疏运系统，发展旅客联程运输和货物多式联运，推广全程“一站式”、“一单制”服务。推进中欧班列集结中心建设。深入推进铁路企业改革，全面深化空管体制改革，推动公路收费制度和养护体制改革。</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3360" behindDoc="0" locked="0" layoutInCell="1" allowOverlap="0">
            <wp:simplePos x="0" y="0"/>
            <wp:positionH relativeFrom="column">
              <wp:align>left</wp:align>
            </wp:positionH>
            <wp:positionV relativeFrom="paragraph">
              <wp:align>top</wp:align>
            </wp:positionV>
            <wp:extent cx="5042535" cy="8863330"/>
            <wp:effectExtent l="0" t="0" r="1905" b="635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tretch>
                      <a:fillRect/>
                    </a:stretch>
                  </pic:blipFill>
                  <pic:spPr>
                    <a:xfrm>
                      <a:off x="0" y="0"/>
                      <a:ext cx="5042535" cy="886333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构建现代能源体系</w:t>
      </w:r>
      <w:r>
        <w:rPr>
          <w:rFonts w:ascii="宋体" w:hAnsi="宋体" w:eastAsia="宋体" w:cs="宋体"/>
          <w:b w:val="0"/>
          <w:color w:val="000000"/>
          <w:sz w:val="25"/>
          <w:u w:val="none"/>
        </w:rPr>
        <w:t>　　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源网荷储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4384" behindDoc="0" locked="0" layoutInCell="1" allowOverlap="0">
            <wp:simplePos x="0" y="0"/>
            <wp:positionH relativeFrom="column">
              <wp:align>left</wp:align>
            </wp:positionH>
            <wp:positionV relativeFrom="paragraph">
              <wp:align>top</wp:align>
            </wp:positionV>
            <wp:extent cx="6188710" cy="5831205"/>
            <wp:effectExtent l="0" t="0" r="13970" b="5715"/>
            <wp:wrapTopAndBottom/>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5"/>
                    <a:stretch>
                      <a:fillRect/>
                    </a:stretch>
                  </pic:blipFill>
                  <pic:spPr>
                    <a:xfrm>
                      <a:off x="0" y="0"/>
                      <a:ext cx="6188710" cy="5831205"/>
                    </a:xfrm>
                    <a:prstGeom prst="rect">
                      <a:avLst/>
                    </a:prstGeom>
                    <a:noFill/>
                    <a:ln>
                      <a:noFill/>
                    </a:ln>
                  </pic:spPr>
                </pic:pic>
              </a:graphicData>
            </a:graphic>
          </wp:anchor>
        </w:drawing>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5408" behindDoc="0" locked="0" layoutInCell="1" allowOverlap="0">
            <wp:simplePos x="0" y="0"/>
            <wp:positionH relativeFrom="column">
              <wp:align>left</wp:align>
            </wp:positionH>
            <wp:positionV relativeFrom="paragraph">
              <wp:align>top</wp:align>
            </wp:positionV>
            <wp:extent cx="6188710" cy="4641215"/>
            <wp:effectExtent l="0" t="0" r="13970" b="6985"/>
            <wp:wrapTopAndBottom/>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6"/>
                    <a:stretch>
                      <a:fillRect/>
                    </a:stretch>
                  </pic:blipFill>
                  <pic:spPr>
                    <a:xfrm>
                      <a:off x="0" y="0"/>
                      <a:ext cx="6188710" cy="464121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加强水利基础设施建设</w:t>
      </w:r>
      <w:r>
        <w:rPr>
          <w:rFonts w:ascii="宋体" w:hAnsi="宋体" w:eastAsia="宋体" w:cs="宋体"/>
          <w:b w:val="0"/>
          <w:color w:val="000000"/>
          <w:sz w:val="25"/>
          <w:u w:val="none"/>
        </w:rPr>
        <w:t>　　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蓄滞洪区建设。加强水源涵养区保护修复，加大重点河湖保护和综合治理力度，恢复水清岸绿的水生态体系。</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6432" behindDoc="0" locked="0" layoutInCell="1" allowOverlap="0">
            <wp:simplePos x="0" y="0"/>
            <wp:positionH relativeFrom="column">
              <wp:align>left</wp:align>
            </wp:positionH>
            <wp:positionV relativeFrom="paragraph">
              <wp:align>top</wp:align>
            </wp:positionV>
            <wp:extent cx="6188710" cy="4620895"/>
            <wp:effectExtent l="0" t="0" r="13970" b="12065"/>
            <wp:wrapTopAndBottom/>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7"/>
                    <a:stretch>
                      <a:fillRect/>
                    </a:stretch>
                  </pic:blipFill>
                  <pic:spPr>
                    <a:xfrm>
                      <a:off x="0" y="0"/>
                      <a:ext cx="6188710" cy="462089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第四篇　形成强大国内市场　构建新发展格局</w:t>
      </w:r>
      <w:r>
        <w:rPr>
          <w:rFonts w:ascii="宋体" w:hAnsi="宋体" w:eastAsia="宋体" w:cs="宋体"/>
          <w:b w:val="0"/>
          <w:color w:val="000000"/>
          <w:sz w:val="25"/>
          <w:u w:val="none"/>
        </w:rPr>
        <w:t>　　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第十二章　畅通国内大循环</w:t>
      </w:r>
      <w:r>
        <w:rPr>
          <w:rFonts w:ascii="宋体" w:hAnsi="宋体" w:eastAsia="宋体" w:cs="宋体"/>
          <w:b w:val="0"/>
          <w:color w:val="000000"/>
          <w:sz w:val="25"/>
          <w:u w:val="none"/>
        </w:rPr>
        <w:t>　　依托强大国内市场，贯通生产、分配、流通、消费各环节，形成需求牵引供给、供给创造需求的更高水平动态平衡，促进国民经济良性循环。</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提升供给体系适配性</w:t>
      </w:r>
      <w:r>
        <w:rPr>
          <w:rFonts w:ascii="宋体" w:hAnsi="宋体" w:eastAsia="宋体" w:cs="宋体"/>
          <w:b w:val="0"/>
          <w:color w:val="000000"/>
          <w:sz w:val="25"/>
          <w:u w:val="none"/>
        </w:rPr>
        <w:t>　　深化供给侧结构性改革，提高供给适应引领创造新需求能力。适应个性化、差异化、品质化消费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促进资源要素顺畅流动</w:t>
      </w:r>
      <w:r>
        <w:rPr>
          <w:rFonts w:ascii="宋体" w:hAnsi="宋体" w:eastAsia="宋体" w:cs="宋体"/>
          <w:b w:val="0"/>
          <w:color w:val="000000"/>
          <w:sz w:val="25"/>
          <w:u w:val="none"/>
        </w:rPr>
        <w:t>　　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强化流通体系支撑作用</w:t>
      </w:r>
      <w:r>
        <w:rPr>
          <w:rFonts w:ascii="宋体" w:hAnsi="宋体" w:eastAsia="宋体" w:cs="宋体"/>
          <w:b w:val="0"/>
          <w:color w:val="000000"/>
          <w:sz w:val="25"/>
          <w:u w:val="none"/>
        </w:rPr>
        <w:t>　　深化流通体制改革，畅通商品服务流通渠道，提升流通效率，降低全社会交易成本。加快构建国内统一大市场，对标国际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完善促进国内大循环的政策体系</w:t>
      </w:r>
      <w:r>
        <w:rPr>
          <w:rFonts w:ascii="宋体" w:hAnsi="宋体" w:eastAsia="宋体" w:cs="宋体"/>
          <w:b w:val="0"/>
          <w:color w:val="000000"/>
          <w:sz w:val="25"/>
          <w:u w:val="none"/>
        </w:rPr>
        <w:t>　　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第十三章　促进国内国际双循环</w:t>
      </w:r>
      <w:r>
        <w:rPr>
          <w:rFonts w:ascii="宋体" w:hAnsi="宋体" w:eastAsia="宋体" w:cs="宋体"/>
          <w:b w:val="0"/>
          <w:color w:val="000000"/>
          <w:sz w:val="25"/>
          <w:u w:val="none"/>
        </w:rPr>
        <w:t>　　立足国内大循环，协同推进强大国内市场和贸易强国建设，形成全球资源要素强大引力场，促进内需和外需、进口和出口、引进外资和对外投资协调发展，加快培育参与国际合作和竞争新优势。</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推动进出口协同发展</w:t>
      </w:r>
      <w:r>
        <w:rPr>
          <w:rFonts w:ascii="宋体" w:hAnsi="宋体" w:eastAsia="宋体" w:cs="宋体"/>
          <w:b w:val="0"/>
          <w:color w:val="000000"/>
          <w:sz w:val="25"/>
          <w:u w:val="none"/>
        </w:rPr>
        <w:t>　　完善内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链供应链畅通运转。创新发展服务贸易，推进服务贸易创新发展试点开放平台建设，提升贸易数字化水平。实施贸易投资融合工程。办好中国国际进口博览会、中国进出口商品交易会、中国国际服务贸易交易会等展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提高国际双向投资水平</w:t>
      </w:r>
      <w:r>
        <w:rPr>
          <w:rFonts w:ascii="宋体" w:hAnsi="宋体" w:eastAsia="宋体" w:cs="宋体"/>
          <w:b w:val="0"/>
          <w:color w:val="000000"/>
          <w:sz w:val="25"/>
          <w:u w:val="none"/>
        </w:rPr>
        <w:t>　　坚持引进来和走出去并重，以高水平双向投资高效利用全球资源要素和市场空间，完善产业链供应链保障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链供应链，提高跨国经营能力和水平。引导企业加强合规管理，防范化解境外政治、经济、安全等各类风险。推进多双边投资合作机制建设，健全促进和保障境外投资政策和服务体系，推动境外投资立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第十四章　加快培育完整内需体系</w:t>
      </w:r>
      <w:r>
        <w:rPr>
          <w:rFonts w:ascii="宋体" w:hAnsi="宋体" w:eastAsia="宋体" w:cs="宋体"/>
          <w:b w:val="0"/>
          <w:color w:val="000000"/>
          <w:sz w:val="25"/>
          <w:u w:val="none"/>
        </w:rPr>
        <w:t>　　深入实施扩大内需战略，增强消费对经济发展的基础性作用和投资对优化供给结构的关键性作用，建设消费和投资需求旺盛的强大国内市场。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全面促进消费</w:t>
      </w:r>
      <w:r>
        <w:rPr>
          <w:rFonts w:ascii="宋体" w:hAnsi="宋体" w:eastAsia="宋体" w:cs="宋体"/>
          <w:b w:val="0"/>
          <w:color w:val="000000"/>
          <w:sz w:val="25"/>
          <w:u w:val="none"/>
        </w:rPr>
        <w:t>　　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文旅体育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权机制和纠纷解决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拓展投资空间</w:t>
      </w:r>
      <w:r>
        <w:rPr>
          <w:rFonts w:ascii="宋体" w:hAnsi="宋体" w:eastAsia="宋体" w:cs="宋体"/>
          <w:b w:val="0"/>
          <w:color w:val="000000"/>
          <w:sz w:val="25"/>
          <w:u w:val="none"/>
        </w:rPr>
        <w:t>　　优化投资结构，提高投资效率，保持投资合理增长。加快补齐基础设施、市政工程、农业农村、公共安全、生态环保、公共卫生、物资储备、防灾减灾、民生保障等领域短板，推动企业设备更新和技术改造，扩大战略性新兴产业投资。推进既促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撬动作用，激发民间投资活力，形成市场主导的投资内生增长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第五篇　加快数字化发展　建设数字中国</w:t>
      </w:r>
      <w:r>
        <w:rPr>
          <w:rFonts w:ascii="宋体" w:hAnsi="宋体" w:eastAsia="宋体" w:cs="宋体"/>
          <w:b w:val="0"/>
          <w:color w:val="000000"/>
          <w:sz w:val="25"/>
          <w:u w:val="none"/>
        </w:rPr>
        <w:t>　　迎接数字时代，激活数据要素潜能，推进网络强国建设，加快建设数字经济、数字社会、数字政府，以数字化转型整体驱动生产方式、生活方式和治理方式变革。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第十五章　打造数字经济新优势</w:t>
      </w:r>
      <w:r>
        <w:rPr>
          <w:rFonts w:ascii="宋体" w:hAnsi="宋体" w:eastAsia="宋体" w:cs="宋体"/>
          <w:b w:val="0"/>
          <w:color w:val="000000"/>
          <w:sz w:val="25"/>
          <w:u w:val="none"/>
        </w:rPr>
        <w:t>　　充分发挥海量数据和丰富应用场景优势，促进数字技术与实体经济深度融合，赋能传统产业转型升级，催生新产业新业态新模式，壮大经济发展新引擎。</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加强关键数字技术创新应用</w:t>
      </w:r>
      <w:r>
        <w:rPr>
          <w:rFonts w:ascii="宋体" w:hAnsi="宋体" w:eastAsia="宋体" w:cs="宋体"/>
          <w:b w:val="0"/>
          <w:color w:val="000000"/>
          <w:sz w:val="25"/>
          <w:u w:val="none"/>
        </w:rPr>
        <w:t>　　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加快推动数字产业化</w:t>
      </w:r>
      <w:r>
        <w:rPr>
          <w:rFonts w:ascii="宋体" w:hAnsi="宋体" w:eastAsia="宋体" w:cs="宋体"/>
          <w:b w:val="0"/>
          <w:color w:val="000000"/>
          <w:sz w:val="25"/>
          <w:u w:val="none"/>
        </w:rPr>
        <w:t>　　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推进产业数字化转型</w:t>
      </w:r>
      <w:r>
        <w:rPr>
          <w:rFonts w:ascii="宋体" w:hAnsi="宋体" w:eastAsia="宋体" w:cs="宋体"/>
          <w:b w:val="0"/>
          <w:color w:val="000000"/>
          <w:sz w:val="25"/>
          <w:u w:val="none"/>
        </w:rPr>
        <w:t>　　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培育众包设计、智慧物流、新零售等新增长点。加快发展智慧农业，推进农业生产经营和管理服务数字化改造。</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7456" behindDoc="0" locked="0" layoutInCell="1" allowOverlap="0">
            <wp:simplePos x="0" y="0"/>
            <wp:positionH relativeFrom="column">
              <wp:align>left</wp:align>
            </wp:positionH>
            <wp:positionV relativeFrom="paragraph">
              <wp:align>top</wp:align>
            </wp:positionV>
            <wp:extent cx="6188710" cy="8060690"/>
            <wp:effectExtent l="0" t="0" r="13970" b="1270"/>
            <wp:wrapTopAndBottom/>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8"/>
                    <a:stretch>
                      <a:fillRect/>
                    </a:stretch>
                  </pic:blipFill>
                  <pic:spPr>
                    <a:xfrm>
                      <a:off x="0" y="0"/>
                      <a:ext cx="6188710" cy="806069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第十六章　加快数字社会建设步伐</w:t>
      </w:r>
      <w:r>
        <w:rPr>
          <w:rFonts w:ascii="宋体" w:hAnsi="宋体" w:eastAsia="宋体" w:cs="宋体"/>
          <w:b w:val="0"/>
          <w:color w:val="000000"/>
          <w:sz w:val="25"/>
          <w:u w:val="none"/>
        </w:rPr>
        <w:t>　　适应数字技术全面融入社会交往和日常生活新趋势，促进公共服务和社会运行方式创新，构筑全民畅享的数字生活。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提供智慧便捷的公共服务</w:t>
      </w:r>
      <w:r>
        <w:rPr>
          <w:rFonts w:ascii="宋体" w:hAnsi="宋体" w:eastAsia="宋体" w:cs="宋体"/>
          <w:b w:val="0"/>
          <w:color w:val="000000"/>
          <w:sz w:val="25"/>
          <w:u w:val="none"/>
        </w:rPr>
        <w:t>　　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建设智慧城市和数字乡村</w:t>
      </w:r>
      <w:r>
        <w:rPr>
          <w:rFonts w:ascii="宋体" w:hAnsi="宋体" w:eastAsia="宋体" w:cs="宋体"/>
          <w:b w:val="0"/>
          <w:color w:val="000000"/>
          <w:sz w:val="25"/>
          <w:u w:val="none"/>
        </w:rPr>
        <w:t>　　以数字化助推城乡发展和治理模式创新，全面提高运行效率和宜居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构筑美好数字生活新图景</w:t>
      </w:r>
      <w:r>
        <w:rPr>
          <w:rFonts w:ascii="宋体" w:hAnsi="宋体" w:eastAsia="宋体" w:cs="宋体"/>
          <w:b w:val="0"/>
          <w:color w:val="000000"/>
          <w:sz w:val="25"/>
          <w:u w:val="none"/>
        </w:rPr>
        <w:t>　　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第十七章　提高数字政府建设水平</w:t>
      </w:r>
      <w:r>
        <w:rPr>
          <w:rFonts w:ascii="宋体" w:hAnsi="宋体" w:eastAsia="宋体" w:cs="宋体"/>
          <w:b w:val="0"/>
          <w:color w:val="000000"/>
          <w:sz w:val="25"/>
          <w:u w:val="none"/>
        </w:rPr>
        <w:t>　　将数字技术广泛应用于政府管理服务，推动政府治理流程再造和模式优化，不断提高决策科学性和服务效率。</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加强公共数据开放共享</w:t>
      </w:r>
      <w:r>
        <w:rPr>
          <w:rFonts w:ascii="宋体" w:hAnsi="宋体" w:eastAsia="宋体" w:cs="宋体"/>
          <w:b w:val="0"/>
          <w:color w:val="000000"/>
          <w:sz w:val="25"/>
          <w:u w:val="none"/>
        </w:rPr>
        <w:t>　　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数据集向社会开放。开展政府数据授权运营试点，鼓励第三方深化对公共数据的挖掘利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推动政务信息化共建共用</w:t>
      </w:r>
      <w:r>
        <w:rPr>
          <w:rFonts w:ascii="宋体" w:hAnsi="宋体" w:eastAsia="宋体" w:cs="宋体"/>
          <w:b w:val="0"/>
          <w:color w:val="000000"/>
          <w:sz w:val="25"/>
          <w:u w:val="none"/>
        </w:rPr>
        <w:t>　　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提高数字化政务服务效能</w:t>
      </w:r>
      <w:r>
        <w:rPr>
          <w:rFonts w:ascii="宋体" w:hAnsi="宋体" w:eastAsia="宋体" w:cs="宋体"/>
          <w:b w:val="0"/>
          <w:color w:val="000000"/>
          <w:sz w:val="25"/>
          <w:u w:val="none"/>
        </w:rPr>
        <w:t>　　全面推进政府运行方式、业务流程和服务模式数字化智能化。深化“互联网＋政务服务”，提升全流程一体化在线服务平台功能。加快构建数字技术辅助政府决策机制，提高基于高频大数据精准动态监测预测预警水平。强化数字技术在公共卫生、自然灾害、事故灾难、社会安全等突发公共事件应对中的运用，全面提升预警和应急处置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第十八章　营造良好数字生态</w:t>
      </w:r>
      <w:r>
        <w:rPr>
          <w:rFonts w:ascii="宋体" w:hAnsi="宋体" w:eastAsia="宋体" w:cs="宋体"/>
          <w:b w:val="0"/>
          <w:color w:val="000000"/>
          <w:sz w:val="25"/>
          <w:u w:val="none"/>
        </w:rPr>
        <w:t>　　坚持放管并重，促进发展与规范管理相统一，构建数字规则体系，营造开放、健康、安全的数字生态。</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建立健全数据要素市场规则</w:t>
      </w:r>
      <w:r>
        <w:rPr>
          <w:rFonts w:ascii="宋体" w:hAnsi="宋体" w:eastAsia="宋体" w:cs="宋体"/>
          <w:b w:val="0"/>
          <w:color w:val="000000"/>
          <w:sz w:val="25"/>
          <w:u w:val="none"/>
        </w:rPr>
        <w:t>　　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营造规范有序的政策环境</w:t>
      </w:r>
      <w:r>
        <w:rPr>
          <w:rFonts w:ascii="宋体" w:hAnsi="宋体" w:eastAsia="宋体" w:cs="宋体"/>
          <w:b w:val="0"/>
          <w:color w:val="000000"/>
          <w:sz w:val="25"/>
          <w:u w:val="none"/>
        </w:rPr>
        <w:t>　　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加强网络安全保护</w:t>
      </w:r>
      <w:r>
        <w:rPr>
          <w:rFonts w:ascii="宋体" w:hAnsi="宋体" w:eastAsia="宋体" w:cs="宋体"/>
          <w:b w:val="0"/>
          <w:color w:val="000000"/>
          <w:sz w:val="25"/>
          <w:u w:val="none"/>
        </w:rPr>
        <w:t>　　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推动构建网络空间命运共同体</w:t>
      </w:r>
      <w:r>
        <w:rPr>
          <w:rFonts w:ascii="宋体" w:hAnsi="宋体" w:eastAsia="宋体" w:cs="宋体"/>
          <w:b w:val="0"/>
          <w:color w:val="000000"/>
          <w:sz w:val="25"/>
          <w:u w:val="none"/>
        </w:rPr>
        <w:t>　　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数字税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8480" behindDoc="0" locked="0" layoutInCell="1" allowOverlap="0">
            <wp:simplePos x="0" y="0"/>
            <wp:positionH relativeFrom="column">
              <wp:align>left</wp:align>
            </wp:positionH>
            <wp:positionV relativeFrom="paragraph">
              <wp:align>top</wp:align>
            </wp:positionV>
            <wp:extent cx="5426075" cy="8863330"/>
            <wp:effectExtent l="0" t="0" r="14605" b="6350"/>
            <wp:wrapTopAndBottom/>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9"/>
                    <a:stretch>
                      <a:fillRect/>
                    </a:stretch>
                  </pic:blipFill>
                  <pic:spPr>
                    <a:xfrm>
                      <a:off x="0" y="0"/>
                      <a:ext cx="5426075" cy="886333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第六篇　全面深化改革　构建高水平社会主义市场经济体制</w:t>
      </w:r>
      <w:r>
        <w:rPr>
          <w:rFonts w:ascii="宋体" w:hAnsi="宋体" w:eastAsia="宋体" w:cs="宋体"/>
          <w:b w:val="0"/>
          <w:color w:val="000000"/>
          <w:sz w:val="25"/>
          <w:u w:val="none"/>
        </w:rPr>
        <w:t>　　坚持和完善社会主义基本经济制度，充分发挥市场在资源配置中的决定性作用，更好发挥政府作用，推动有效市场和有为政府更好结合。</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第十九章　激发各类市场主体活力</w:t>
      </w:r>
      <w:r>
        <w:rPr>
          <w:rFonts w:ascii="宋体" w:hAnsi="宋体" w:eastAsia="宋体" w:cs="宋体"/>
          <w:b w:val="0"/>
          <w:color w:val="000000"/>
          <w:sz w:val="25"/>
          <w:u w:val="none"/>
        </w:rPr>
        <w:t>　　毫不动摇巩固和发展公有制经济，毫不动摇鼓励、支持、引导非公有制经济发展，培育更有活力、创造力和竞争力的市场主体。</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加快国有经济布局优化和结构调整</w:t>
      </w:r>
      <w:r>
        <w:rPr>
          <w:rFonts w:ascii="宋体" w:hAnsi="宋体" w:eastAsia="宋体" w:cs="宋体"/>
          <w:b w:val="0"/>
          <w:color w:val="000000"/>
          <w:sz w:val="25"/>
          <w:u w:val="none"/>
        </w:rPr>
        <w:t>　　围绕服务国家战略，坚持有进有退、有所为有所不为，加快国有经济布局优化、结构调整和战略性重组，增强国有经济竞争力、创新力、控制力、影响力、抗风险能力，做强做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推动国有企业完善中国特色现代企业制度</w:t>
      </w:r>
      <w:r>
        <w:rPr>
          <w:rFonts w:ascii="宋体" w:hAnsi="宋体" w:eastAsia="宋体" w:cs="宋体"/>
          <w:b w:val="0"/>
          <w:color w:val="000000"/>
          <w:sz w:val="25"/>
          <w:u w:val="none"/>
        </w:rPr>
        <w:t>　　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健全管资本为主的国有资产监管体制</w:t>
      </w:r>
      <w:r>
        <w:rPr>
          <w:rFonts w:ascii="宋体" w:hAnsi="宋体" w:eastAsia="宋体" w:cs="宋体"/>
          <w:b w:val="0"/>
          <w:color w:val="000000"/>
          <w:sz w:val="25"/>
          <w:u w:val="none"/>
        </w:rPr>
        <w:t>　　坚持授权与监管相结合、放活与管好相统一，大力推进国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优化民营企业发展环境</w:t>
      </w:r>
      <w:r>
        <w:rPr>
          <w:rFonts w:ascii="宋体" w:hAnsi="宋体" w:eastAsia="宋体" w:cs="宋体"/>
          <w:b w:val="0"/>
          <w:color w:val="000000"/>
          <w:sz w:val="25"/>
          <w:u w:val="none"/>
        </w:rPr>
        <w:t>　　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信支持体系，对民营企业信用评级、发债一视同仁，降低综合融资成本。完善促进中小微企业和个体工商户发展的政策体系，加大税费优惠和信贷支持力度。构建亲清政商关系，建立规范化政企沟通渠道。健全防范和化解拖欠中小企业账款长效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第五节　促进民营企业高质量发展</w:t>
      </w:r>
      <w:r>
        <w:rPr>
          <w:rFonts w:ascii="宋体" w:hAnsi="宋体" w:eastAsia="宋体" w:cs="宋体"/>
          <w:b w:val="0"/>
          <w:color w:val="000000"/>
          <w:sz w:val="25"/>
          <w:u w:val="none"/>
        </w:rPr>
        <w:t>　　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规经营，鼓励民营企业积极履行社会责任、参与社会公益和慈善事业。弘扬企业家精神，实施年轻一代民营企业家健康成长促进计划。</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第二十章　建设高标准市场体系</w:t>
      </w:r>
      <w:r>
        <w:rPr>
          <w:rFonts w:ascii="宋体" w:hAnsi="宋体" w:eastAsia="宋体" w:cs="宋体"/>
          <w:b w:val="0"/>
          <w:color w:val="000000"/>
          <w:sz w:val="25"/>
          <w:u w:val="none"/>
        </w:rPr>
        <w:t>　　实施高标准市场体系建设行动，健全市场体系基础制度，坚持平等准入、公正监管、开放有序、诚信守法，形成高效规范、公平竞争的国内统一市场。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全面完善产权制度</w:t>
      </w:r>
      <w:r>
        <w:rPr>
          <w:rFonts w:ascii="宋体" w:hAnsi="宋体" w:eastAsia="宋体" w:cs="宋体"/>
          <w:b w:val="0"/>
          <w:color w:val="000000"/>
          <w:sz w:val="25"/>
          <w:u w:val="none"/>
        </w:rPr>
        <w:t>　　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涉企冤错案件依法甄别纠正常态化机制化，畅通涉政府产权纠纷反映和处理渠道。加强数据、知识、环境等领域产权制度建设，健全自然资源资产产权制度和法律法规。</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推进要素市场化配置改革</w:t>
      </w:r>
      <w:r>
        <w:rPr>
          <w:rFonts w:ascii="宋体" w:hAnsi="宋体" w:eastAsia="宋体" w:cs="宋体"/>
          <w:b w:val="0"/>
          <w:color w:val="000000"/>
          <w:sz w:val="25"/>
          <w:u w:val="none"/>
        </w:rPr>
        <w:t>　　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强化竞争政策基础地位</w:t>
      </w:r>
      <w:r>
        <w:rPr>
          <w:rFonts w:ascii="宋体" w:hAnsi="宋体" w:eastAsia="宋体" w:cs="宋体"/>
          <w:b w:val="0"/>
          <w:color w:val="000000"/>
          <w:sz w:val="25"/>
          <w:u w:val="none"/>
        </w:rPr>
        <w:t>　　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健全社会信用体系</w:t>
      </w:r>
      <w:r>
        <w:rPr>
          <w:rFonts w:ascii="宋体" w:hAnsi="宋体" w:eastAsia="宋体" w:cs="宋体"/>
          <w:b w:val="0"/>
          <w:color w:val="000000"/>
          <w:sz w:val="25"/>
          <w:u w:val="none"/>
        </w:rPr>
        <w:t>　　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信监管，推动信用服务市场健康发展。加强信用信息安全管理，保障信用主体合法权益。建立健全政府失信责任追究制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第二十一章　建立现代财税金融体制</w:t>
      </w:r>
      <w:r>
        <w:rPr>
          <w:rFonts w:ascii="宋体" w:hAnsi="宋体" w:eastAsia="宋体" w:cs="宋体"/>
          <w:b w:val="0"/>
          <w:color w:val="000000"/>
          <w:sz w:val="25"/>
          <w:u w:val="none"/>
        </w:rPr>
        <w:t>　　更好发挥财政在国家治理中的基础和重要支柱作用，增强金融服务实体经济能力，健全符合高质量发展要求的财税金融制度。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加快建立现代财政制度</w:t>
      </w:r>
      <w:r>
        <w:rPr>
          <w:rFonts w:ascii="宋体" w:hAnsi="宋体" w:eastAsia="宋体" w:cs="宋体"/>
          <w:b w:val="0"/>
          <w:color w:val="000000"/>
          <w:sz w:val="25"/>
          <w:u w:val="none"/>
        </w:rPr>
        <w:t>　　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完善现代税收制度</w:t>
      </w:r>
      <w:r>
        <w:rPr>
          <w:rFonts w:ascii="宋体" w:hAnsi="宋体" w:eastAsia="宋体" w:cs="宋体"/>
          <w:b w:val="0"/>
          <w:color w:val="000000"/>
          <w:sz w:val="25"/>
          <w:u w:val="none"/>
        </w:rPr>
        <w:t>　　优化税制结构，健全直接税体系，适当提高直接税比重。完善个人所得税制度，推进扩大综合征收范围，优化税率结构。聚焦支持稳定制造业、巩固产业链供应链，进一步优化增值税制度。调整优化消费税征收范围和税率，推进征收环节后移并稳步下划地方。规范完善税收优惠。推进房地产税立法，健全地方税体系，逐步扩大地方税政管理权。深化税收征管制度改革，建设智慧税务，推动税收征管现代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深化金融供给侧结构性改革</w:t>
      </w:r>
      <w:r>
        <w:rPr>
          <w:rFonts w:ascii="宋体" w:hAnsi="宋体" w:eastAsia="宋体" w:cs="宋体"/>
          <w:b w:val="0"/>
          <w:color w:val="000000"/>
          <w:sz w:val="25"/>
          <w:u w:val="none"/>
        </w:rPr>
        <w:t>　　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常态化退市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第二十二章　提升政府经济治理能力</w:t>
      </w:r>
      <w:r>
        <w:rPr>
          <w:rFonts w:ascii="宋体" w:hAnsi="宋体" w:eastAsia="宋体" w:cs="宋体"/>
          <w:b w:val="0"/>
          <w:color w:val="000000"/>
          <w:sz w:val="25"/>
          <w:u w:val="none"/>
        </w:rPr>
        <w:t>　　加快转变政府职能，建设职责明确、依法行政的政府治理体系，创新和完善宏观调控，提高政府治理效能。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完善宏观经济治理</w:t>
      </w:r>
      <w:r>
        <w:rPr>
          <w:rFonts w:ascii="宋体" w:hAnsi="宋体" w:eastAsia="宋体" w:cs="宋体"/>
          <w:b w:val="0"/>
          <w:color w:val="000000"/>
          <w:sz w:val="25"/>
          <w:u w:val="none"/>
        </w:rPr>
        <w:t>　　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构建一流营商环境</w:t>
      </w:r>
      <w:r>
        <w:rPr>
          <w:rFonts w:ascii="宋体" w:hAnsi="宋体" w:eastAsia="宋体" w:cs="宋体"/>
          <w:b w:val="0"/>
          <w:color w:val="000000"/>
          <w:sz w:val="25"/>
          <w:u w:val="none"/>
        </w:rPr>
        <w:t>　　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推进监管能力现代化</w:t>
      </w:r>
      <w:r>
        <w:rPr>
          <w:rFonts w:ascii="宋体" w:hAnsi="宋体" w:eastAsia="宋体" w:cs="宋体"/>
          <w:b w:val="0"/>
          <w:color w:val="000000"/>
          <w:sz w:val="25"/>
          <w:u w:val="none"/>
        </w:rPr>
        <w:t>　　健全以“双随机、一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态实施包容审慎监管。深化市场监管综合行政执法改革，完善跨领域跨部门联动执法、协同监管机制。深化行业协会、商会和中介机构改革。加强社会公众、新闻媒体监督。</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第七篇　坚持农业农村优先发展　全面推进乡村振兴</w:t>
      </w:r>
      <w:r>
        <w:rPr>
          <w:rFonts w:ascii="宋体" w:hAnsi="宋体" w:eastAsia="宋体" w:cs="宋体"/>
          <w:b w:val="0"/>
          <w:color w:val="000000"/>
          <w:sz w:val="25"/>
          <w:u w:val="none"/>
        </w:rPr>
        <w:t>　　走中国特色社会主义乡村振兴道路，全面实施乡村振兴战略，强化以工补农、以城带乡，推动形成工农互促、城乡互补、协调发展、共同繁荣的新型工农城乡关系，加快农业农村现代化。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第二十三章　提高农业质量效益和竞争力</w:t>
      </w:r>
      <w:r>
        <w:rPr>
          <w:rFonts w:ascii="宋体" w:hAnsi="宋体" w:eastAsia="宋体" w:cs="宋体"/>
          <w:b w:val="0"/>
          <w:color w:val="000000"/>
          <w:sz w:val="25"/>
          <w:u w:val="none"/>
        </w:rPr>
        <w:t>　　持续强化农业基础地位，深化农业供给侧结构性改革，强化质量导向，推动乡村产业振兴。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增强农业综合生产能力</w:t>
      </w:r>
      <w:r>
        <w:rPr>
          <w:rFonts w:ascii="宋体" w:hAnsi="宋体" w:eastAsia="宋体" w:cs="宋体"/>
          <w:b w:val="0"/>
          <w:color w:val="000000"/>
          <w:sz w:val="25"/>
          <w:u w:val="none"/>
        </w:rPr>
        <w:t>　　夯实粮食生产能力基础，保障粮、棉、油、糖、肉、奶等重要农产品供给安全。坚持最严格的耕地保护制度，强化耕地数量保护和质量提升，严守18亿亩耕地红线，遏制耕地“非农化”、防止“非粮化”，规范耕地占补平衡，严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收综合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69504" behindDoc="0" locked="0" layoutInCell="1" allowOverlap="0">
            <wp:simplePos x="0" y="0"/>
            <wp:positionH relativeFrom="column">
              <wp:align>left</wp:align>
            </wp:positionH>
            <wp:positionV relativeFrom="paragraph">
              <wp:align>top</wp:align>
            </wp:positionV>
            <wp:extent cx="6188710" cy="4641215"/>
            <wp:effectExtent l="0" t="0" r="13970" b="6985"/>
            <wp:wrapTopAndBottom/>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0"/>
                    <a:stretch>
                      <a:fillRect/>
                    </a:stretch>
                  </pic:blipFill>
                  <pic:spPr>
                    <a:xfrm>
                      <a:off x="0" y="0"/>
                      <a:ext cx="6188710" cy="464121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深化农业结构调整</w:t>
      </w:r>
      <w:r>
        <w:rPr>
          <w:rFonts w:ascii="宋体" w:hAnsi="宋体" w:eastAsia="宋体" w:cs="宋体"/>
          <w:b w:val="0"/>
          <w:color w:val="000000"/>
          <w:sz w:val="25"/>
          <w:u w:val="none"/>
        </w:rPr>
        <w:t>　　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丰富乡村经济业态</w:t>
      </w:r>
      <w:r>
        <w:rPr>
          <w:rFonts w:ascii="宋体" w:hAnsi="宋体" w:eastAsia="宋体" w:cs="宋体"/>
          <w:b w:val="0"/>
          <w:color w:val="000000"/>
          <w:sz w:val="25"/>
          <w:u w:val="none"/>
        </w:rPr>
        <w:t>　　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第二十四章　实施乡村建设行动</w:t>
      </w:r>
      <w:r>
        <w:rPr>
          <w:rFonts w:ascii="宋体" w:hAnsi="宋体" w:eastAsia="宋体" w:cs="宋体"/>
          <w:b w:val="0"/>
          <w:color w:val="000000"/>
          <w:sz w:val="25"/>
          <w:u w:val="none"/>
        </w:rPr>
        <w:t>　　把乡村建设摆在社会主义现代化建设的重要位置，优化生产生活生态空间，持续改善村容村貌和人居环境，建设美丽宜居乡村。</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强化乡村建设的规划引领</w:t>
      </w:r>
      <w:r>
        <w:rPr>
          <w:rFonts w:ascii="宋体" w:hAnsi="宋体" w:eastAsia="宋体" w:cs="宋体"/>
          <w:b w:val="0"/>
          <w:color w:val="000000"/>
          <w:sz w:val="25"/>
          <w:u w:val="none"/>
        </w:rPr>
        <w:t>　　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提升乡村基础设施和公共服务水平</w:t>
      </w:r>
      <w:r>
        <w:rPr>
          <w:rFonts w:ascii="宋体" w:hAnsi="宋体" w:eastAsia="宋体" w:cs="宋体"/>
          <w:b w:val="0"/>
          <w:color w:val="000000"/>
          <w:sz w:val="25"/>
          <w:u w:val="none"/>
        </w:rPr>
        <w:t>　　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改善农村人居环境</w:t>
      </w:r>
      <w:r>
        <w:rPr>
          <w:rFonts w:ascii="宋体" w:hAnsi="宋体" w:eastAsia="宋体" w:cs="宋体"/>
          <w:b w:val="0"/>
          <w:color w:val="000000"/>
          <w:sz w:val="25"/>
          <w:u w:val="none"/>
        </w:rPr>
        <w:t>　　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0528" behindDoc="0" locked="0" layoutInCell="1" allowOverlap="0">
            <wp:simplePos x="0" y="0"/>
            <wp:positionH relativeFrom="column">
              <wp:align>left</wp:align>
            </wp:positionH>
            <wp:positionV relativeFrom="paragraph">
              <wp:align>top</wp:align>
            </wp:positionV>
            <wp:extent cx="6145530" cy="8863330"/>
            <wp:effectExtent l="0" t="0" r="11430" b="6350"/>
            <wp:wrapTopAndBottom/>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1"/>
                    <a:stretch>
                      <a:fillRect/>
                    </a:stretch>
                  </pic:blipFill>
                  <pic:spPr>
                    <a:xfrm>
                      <a:off x="0" y="0"/>
                      <a:ext cx="6145530" cy="886333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第二十五章　健全城乡融合发展体制机制</w:t>
      </w:r>
      <w:r>
        <w:rPr>
          <w:rFonts w:ascii="宋体" w:hAnsi="宋体" w:eastAsia="宋体" w:cs="宋体"/>
          <w:b w:val="0"/>
          <w:color w:val="000000"/>
          <w:sz w:val="25"/>
          <w:u w:val="none"/>
        </w:rPr>
        <w:t>　　建立健全城乡要素平等交换、双向流动政策体系，促进要素更多向乡村流动，增强农业农村发展活力。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深化农业农村改革</w:t>
      </w:r>
      <w:r>
        <w:rPr>
          <w:rFonts w:ascii="宋体" w:hAnsi="宋体" w:eastAsia="宋体" w:cs="宋体"/>
          <w:b w:val="0"/>
          <w:color w:val="000000"/>
          <w:sz w:val="25"/>
          <w:u w:val="none"/>
        </w:rPr>
        <w:t>　　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加强农业农村发展要素保障</w:t>
      </w:r>
      <w:r>
        <w:rPr>
          <w:rFonts w:ascii="宋体" w:hAnsi="宋体" w:eastAsia="宋体" w:cs="宋体"/>
          <w:b w:val="0"/>
          <w:color w:val="000000"/>
          <w:sz w:val="25"/>
          <w:u w:val="none"/>
        </w:rPr>
        <w:t>　　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第二十六章　实现巩固拓展脱贫攻坚成果同乡村振兴有效衔接</w:t>
      </w:r>
      <w:r>
        <w:rPr>
          <w:rFonts w:ascii="宋体" w:hAnsi="宋体" w:eastAsia="宋体" w:cs="宋体"/>
          <w:b w:val="0"/>
          <w:color w:val="000000"/>
          <w:sz w:val="25"/>
          <w:u w:val="none"/>
        </w:rPr>
        <w:t>　　建立完善农村低收入人口和欠发达地区帮扶机制，保持主要帮扶政策和财政投入力度总体稳定，接续推进脱贫地区发展。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巩固提升脱贫攻坚成果</w:t>
      </w:r>
      <w:r>
        <w:rPr>
          <w:rFonts w:ascii="宋体" w:hAnsi="宋体" w:eastAsia="宋体" w:cs="宋体"/>
          <w:b w:val="0"/>
          <w:color w:val="000000"/>
          <w:sz w:val="25"/>
          <w:u w:val="none"/>
        </w:rPr>
        <w:t>　　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提升脱贫地区整体发展水平</w:t>
      </w:r>
      <w:r>
        <w:rPr>
          <w:rFonts w:ascii="宋体" w:hAnsi="宋体" w:eastAsia="宋体" w:cs="宋体"/>
          <w:b w:val="0"/>
          <w:color w:val="000000"/>
          <w:sz w:val="25"/>
          <w:u w:val="none"/>
        </w:rPr>
        <w:t>　　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完善东西部协作和对口支援、中央单位定点帮扶、社会力量参与帮扶等机制，调整优化东西部协作结对帮扶关系和帮扶方式，强化产业合作和劳务协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第八篇　完善新型城镇化战略　提升城镇化发展质量</w:t>
      </w:r>
      <w:r>
        <w:rPr>
          <w:rFonts w:ascii="宋体" w:hAnsi="宋体" w:eastAsia="宋体" w:cs="宋体"/>
          <w:b w:val="0"/>
          <w:color w:val="000000"/>
          <w:sz w:val="25"/>
          <w:u w:val="none"/>
        </w:rPr>
        <w:t>　　坚持走中国特色新型城镇化道路，深入推进以人为核心的新型城镇化战略，以城市群、都市圈为依托促进大中小城市和小城镇协调联动、特色化发展，使更多人民群众享有更高品质的城市生活。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第二十七章　加快农业转移人口市民化</w:t>
      </w:r>
      <w:r>
        <w:rPr>
          <w:rFonts w:ascii="宋体" w:hAnsi="宋体" w:eastAsia="宋体" w:cs="宋体"/>
          <w:b w:val="0"/>
          <w:color w:val="000000"/>
          <w:sz w:val="25"/>
          <w:u w:val="none"/>
        </w:rPr>
        <w:t>　　坚持存量优先、带动增量，统筹推进户籍制度改革和城镇基本公共服务常住人口全覆盖，健全农业转移人口市民化配套政策体系，加快推动农业转移人口全面融入城市。</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深化户籍制度改革</w:t>
      </w:r>
      <w:r>
        <w:rPr>
          <w:rFonts w:ascii="宋体" w:hAnsi="宋体" w:eastAsia="宋体" w:cs="宋体"/>
          <w:b w:val="0"/>
          <w:color w:val="000000"/>
          <w:sz w:val="25"/>
          <w:u w:val="none"/>
        </w:rPr>
        <w:t>　　放开放宽除个别超大城市外的落户限制，试行以经常居住地登记户口制度。全面取消城区常住人口300万以下的城市落户限制，确保外地与本地农业转移人口进城落户标准一视同仁。全面放宽城区常住人口300万至500万的I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健全农业转移人口市民化机制</w:t>
      </w:r>
      <w:r>
        <w:rPr>
          <w:rFonts w:ascii="宋体" w:hAnsi="宋体" w:eastAsia="宋体" w:cs="宋体"/>
          <w:b w:val="0"/>
          <w:color w:val="000000"/>
          <w:sz w:val="25"/>
          <w:u w:val="none"/>
        </w:rPr>
        <w:t>　　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第二十八章　完善城镇化空间布局</w:t>
      </w:r>
      <w:r>
        <w:rPr>
          <w:rFonts w:ascii="宋体" w:hAnsi="宋体" w:eastAsia="宋体" w:cs="宋体"/>
          <w:b w:val="0"/>
          <w:color w:val="000000"/>
          <w:sz w:val="25"/>
          <w:u w:val="none"/>
        </w:rPr>
        <w:t>　　发展壮大城市群和都市圈，分类引导大中小城市发展方向和建设重点，形成疏密有致、分工协作、功能完善的城镇化空间格局。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推动城市群一体化发展</w:t>
      </w:r>
      <w:r>
        <w:rPr>
          <w:rFonts w:ascii="宋体" w:hAnsi="宋体" w:eastAsia="宋体" w:cs="宋体"/>
          <w:b w:val="0"/>
          <w:color w:val="000000"/>
          <w:sz w:val="25"/>
          <w:u w:val="none"/>
        </w:rPr>
        <w:t>　　以促进城市群发展为抓手，全面形成“两横三纵”城镇化战略格局。优化提升京津冀、长三角、珠三角、成渝、长江中游等城市群，发展壮大山东半岛、粤闽浙沿海、中原、关中平原、北部湾等城市群，培育发展哈长、辽中南、山西中部、黔中、滇中、呼包鄂榆、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建设现代化都市圈</w:t>
      </w:r>
      <w:r>
        <w:rPr>
          <w:rFonts w:ascii="宋体" w:hAnsi="宋体" w:eastAsia="宋体" w:cs="宋体"/>
          <w:b w:val="0"/>
          <w:color w:val="000000"/>
          <w:sz w:val="25"/>
          <w:u w:val="none"/>
        </w:rPr>
        <w:t>　　依托辐射带动能力较强的中心城市，提高1小时通勤圈协同发展水平，培育发展一批同城化程度高的现代化都市圈。以城际铁路和市域（郊）铁路等轨道交通为骨干，打通各类“断头路”、“瓶颈路”，推动市内市外交通有效衔接和轨道交通“四网融合”，提高都市圈基础设施连接性贯通性。鼓励都市圈社保和落户积分互认、教育和医疗资源共享，推动科技创新券通兑通用、产业园区和科研平台合作共建。鼓励有条件的都市圈建立统一的规划委员会，实现规划统一编制、统一实施，探索推进土地、人口等统一管理。</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优化提升超大特大城市中心城区功能</w:t>
      </w:r>
      <w:r>
        <w:rPr>
          <w:rFonts w:ascii="宋体" w:hAnsi="宋体" w:eastAsia="宋体" w:cs="宋体"/>
          <w:b w:val="0"/>
          <w:color w:val="000000"/>
          <w:sz w:val="25"/>
          <w:u w:val="none"/>
        </w:rPr>
        <w:t>　　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产城融合，完善郊区新城功能，实现多中心、组团式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完善大中城市宜居宜业功能</w:t>
      </w:r>
      <w:r>
        <w:rPr>
          <w:rFonts w:ascii="宋体" w:hAnsi="宋体" w:eastAsia="宋体" w:cs="宋体"/>
          <w:b w:val="0"/>
          <w:color w:val="000000"/>
          <w:sz w:val="25"/>
          <w:u w:val="none"/>
        </w:rPr>
        <w:t>　　充分利用综合成本相对较低的优势，主动承接超大特大城市产业转移和功能疏解，夯实实体经济发展基础。立足特色资源和产业基础，确立制造业差异化定位，推动制造业规模化集群化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第五节　推进以县城为重要载体的城镇化建设</w:t>
      </w:r>
      <w:r>
        <w:rPr>
          <w:rFonts w:ascii="宋体" w:hAnsi="宋体" w:eastAsia="宋体" w:cs="宋体"/>
          <w:b w:val="0"/>
          <w:color w:val="000000"/>
          <w:sz w:val="25"/>
          <w:u w:val="none"/>
        </w:rPr>
        <w:t>　　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1552" behindDoc="0" locked="0" layoutInCell="1" allowOverlap="0">
            <wp:simplePos x="0" y="0"/>
            <wp:positionH relativeFrom="column">
              <wp:align>left</wp:align>
            </wp:positionH>
            <wp:positionV relativeFrom="paragraph">
              <wp:align>top</wp:align>
            </wp:positionV>
            <wp:extent cx="6188710" cy="4579620"/>
            <wp:effectExtent l="0" t="0" r="13970" b="7620"/>
            <wp:wrapTopAndBottom/>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2"/>
                    <a:stretch>
                      <a:fillRect/>
                    </a:stretch>
                  </pic:blipFill>
                  <pic:spPr>
                    <a:xfrm>
                      <a:off x="0" y="0"/>
                      <a:ext cx="6188710" cy="457962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第二十九章　全面提升城市品质</w:t>
      </w:r>
      <w:r>
        <w:rPr>
          <w:rFonts w:ascii="宋体" w:hAnsi="宋体" w:eastAsia="宋体" w:cs="宋体"/>
          <w:b w:val="0"/>
          <w:color w:val="000000"/>
          <w:sz w:val="25"/>
          <w:u w:val="none"/>
        </w:rPr>
        <w:t>　　加快转变城市发展方式，统筹城市规划建设管理，实施城市更新行动，推动城市空间结构优化和品质提升。</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转变城市发展方式</w:t>
      </w:r>
      <w:r>
        <w:rPr>
          <w:rFonts w:ascii="宋体" w:hAnsi="宋体" w:eastAsia="宋体" w:cs="宋体"/>
          <w:b w:val="0"/>
          <w:color w:val="000000"/>
          <w:sz w:val="25"/>
          <w:u w:val="none"/>
        </w:rPr>
        <w:t>　　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推进新型城市建设</w:t>
      </w:r>
      <w:r>
        <w:rPr>
          <w:rFonts w:ascii="宋体" w:hAnsi="宋体" w:eastAsia="宋体" w:cs="宋体"/>
          <w:b w:val="0"/>
          <w:color w:val="000000"/>
          <w:sz w:val="25"/>
          <w:u w:val="none"/>
        </w:rPr>
        <w:t>　　顺应城市发展新理念新趋势，开展城市现代化试点示范，建设宜居、创新、智慧、绿色、人文、韧性城市。提升城市智慧化水平，推行城市楼宇、公共空间、地下管网等“一张图”数字化管理和城市运行一网统管。科学规划布局城市绿环绿廊绿楔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蓄排结合、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提高城市治理水平</w:t>
      </w:r>
      <w:r>
        <w:rPr>
          <w:rFonts w:ascii="宋体" w:hAnsi="宋体" w:eastAsia="宋体" w:cs="宋体"/>
          <w:b w:val="0"/>
          <w:color w:val="000000"/>
          <w:sz w:val="25"/>
          <w:u w:val="none"/>
        </w:rPr>
        <w:t>　　坚持党建引领、重心下移、科技赋能，不断提升城市治理科学化精细化智能化水平，推进市域社会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完善住房市场体系和住房保障体系</w:t>
      </w:r>
      <w:r>
        <w:rPr>
          <w:rFonts w:ascii="宋体" w:hAnsi="宋体" w:eastAsia="宋体" w:cs="宋体"/>
          <w:b w:val="0"/>
          <w:color w:val="000000"/>
          <w:sz w:val="25"/>
          <w:u w:val="none"/>
        </w:rPr>
        <w:t>　　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2576" behindDoc="0" locked="0" layoutInCell="1" allowOverlap="0">
            <wp:simplePos x="0" y="0"/>
            <wp:positionH relativeFrom="column">
              <wp:align>left</wp:align>
            </wp:positionH>
            <wp:positionV relativeFrom="paragraph">
              <wp:align>top</wp:align>
            </wp:positionV>
            <wp:extent cx="6188710" cy="6591300"/>
            <wp:effectExtent l="0" t="0" r="13970" b="7620"/>
            <wp:wrapTopAndBottom/>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3"/>
                    <a:stretch>
                      <a:fillRect/>
                    </a:stretch>
                  </pic:blipFill>
                  <pic:spPr>
                    <a:xfrm>
                      <a:off x="0" y="0"/>
                      <a:ext cx="6188710" cy="659130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第九篇　优化区域经济布局　促进区域协调发展</w:t>
      </w:r>
      <w:r>
        <w:rPr>
          <w:rFonts w:ascii="宋体" w:hAnsi="宋体" w:eastAsia="宋体" w:cs="宋体"/>
          <w:b w:val="0"/>
          <w:color w:val="000000"/>
          <w:sz w:val="25"/>
          <w:u w:val="none"/>
        </w:rPr>
        <w:t>　　深入实施区域重大战略、区域协调发展战略、主体功能区战略，健全区域协调发展体制机制，构建高质量发展的区域经济布局和国土空间支撑体系。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第三十章　优化国土空间开发保护格局</w:t>
      </w:r>
      <w:r>
        <w:rPr>
          <w:rFonts w:ascii="宋体" w:hAnsi="宋体" w:eastAsia="宋体" w:cs="宋体"/>
          <w:b w:val="0"/>
          <w:color w:val="000000"/>
          <w:sz w:val="25"/>
          <w:u w:val="none"/>
        </w:rPr>
        <w:t>　　立足资源环境承载能力，发挥各地区比较优势，促进各类要素合理流动和高效集聚，推动形成主体功能明显、优势互补、高质量发展的国土空间开发保护新格局。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完善和落实主体功能区制度</w:t>
      </w:r>
      <w:r>
        <w:rPr>
          <w:rFonts w:ascii="宋体" w:hAnsi="宋体" w:eastAsia="宋体" w:cs="宋体"/>
          <w:b w:val="0"/>
          <w:color w:val="000000"/>
          <w:sz w:val="25"/>
          <w:u w:val="none"/>
        </w:rPr>
        <w:t>　　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开拓高质量发展的重要动力源</w:t>
      </w:r>
      <w:r>
        <w:rPr>
          <w:rFonts w:ascii="宋体" w:hAnsi="宋体" w:eastAsia="宋体" w:cs="宋体"/>
          <w:b w:val="0"/>
          <w:color w:val="000000"/>
          <w:sz w:val="25"/>
          <w:u w:val="none"/>
        </w:rPr>
        <w:t>　　以中心城市和城市群等经济发展优势区域为重点，增强经济和人口承载能力，带动全国经济效率整体提升。以京津冀、长三角、粤港澳大湾区为重点，提升创新策源能力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提升重要功能性区域的保障能力</w:t>
      </w:r>
      <w:r>
        <w:rPr>
          <w:rFonts w:ascii="宋体" w:hAnsi="宋体" w:eastAsia="宋体" w:cs="宋体"/>
          <w:b w:val="0"/>
          <w:color w:val="000000"/>
          <w:sz w:val="25"/>
          <w:u w:val="none"/>
        </w:rPr>
        <w:t>　　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疆稳定。健全公共资源配置机制，对重点生态功能区、农产品主产区、边境地区等提供有效转移支付。</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第三十一章　深入实施区域重大战略</w:t>
      </w:r>
      <w:r>
        <w:rPr>
          <w:rFonts w:ascii="宋体" w:hAnsi="宋体" w:eastAsia="宋体" w:cs="宋体"/>
          <w:b w:val="0"/>
          <w:color w:val="000000"/>
          <w:sz w:val="25"/>
          <w:u w:val="none"/>
        </w:rPr>
        <w:t>　　聚焦实现战略目标和提升引领带动能力，推动区域重大战略取得新的突破性进展，促进区域间融合互动、融通补充。</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加快推动京津冀协同发展</w:t>
      </w:r>
      <w:r>
        <w:rPr>
          <w:rFonts w:ascii="宋体" w:hAnsi="宋体" w:eastAsia="宋体" w:cs="宋体"/>
          <w:b w:val="0"/>
          <w:color w:val="000000"/>
          <w:sz w:val="25"/>
          <w:u w:val="none"/>
        </w:rPr>
        <w:t>　　紧抓疏解北京非首都功能“牛鼻子”，构建功能疏解政策体系，实施一批标志性疏解项目。高标准高质量建设雄安新区，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冀产业链与创新链深度融合。基本建成轨道上的京津冀，提高机场群港口群协同水平。深化大气污染联防联控联治，强化华北地下水超采及地面沉降综合治理。</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3600" behindDoc="0" locked="0" layoutInCell="1" allowOverlap="0">
            <wp:simplePos x="0" y="0"/>
            <wp:positionH relativeFrom="column">
              <wp:align>left</wp:align>
            </wp:positionH>
            <wp:positionV relativeFrom="paragraph">
              <wp:align>top</wp:align>
            </wp:positionV>
            <wp:extent cx="6188710" cy="4620895"/>
            <wp:effectExtent l="0" t="0" r="13970" b="12065"/>
            <wp:wrapTopAndBottom/>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4"/>
                    <a:stretch>
                      <a:fillRect/>
                    </a:stretch>
                  </pic:blipFill>
                  <pic:spPr>
                    <a:xfrm>
                      <a:off x="0" y="0"/>
                      <a:ext cx="6188710" cy="462089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全面推动长江经济带发展</w:t>
      </w:r>
      <w:r>
        <w:rPr>
          <w:rFonts w:ascii="宋体" w:hAnsi="宋体" w:eastAsia="宋体" w:cs="宋体"/>
          <w:b w:val="0"/>
          <w:color w:val="000000"/>
          <w:sz w:val="25"/>
          <w:u w:val="none"/>
        </w:rPr>
        <w:t>　　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库污染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积极稳妥推进粤港澳大湾区建设</w:t>
      </w:r>
      <w:r>
        <w:rPr>
          <w:rFonts w:ascii="宋体" w:hAnsi="宋体" w:eastAsia="宋体" w:cs="宋体"/>
          <w:b w:val="0"/>
          <w:color w:val="000000"/>
          <w:sz w:val="25"/>
          <w:u w:val="none"/>
        </w:rPr>
        <w:t>　　加强粤港澳产学研协同发展，完善广深港、广珠澳科技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4624" behindDoc="0" locked="0" layoutInCell="1" allowOverlap="0">
            <wp:simplePos x="0" y="0"/>
            <wp:positionH relativeFrom="column">
              <wp:align>left</wp:align>
            </wp:positionH>
            <wp:positionV relativeFrom="paragraph">
              <wp:align>top</wp:align>
            </wp:positionV>
            <wp:extent cx="6188710" cy="4613910"/>
            <wp:effectExtent l="0" t="0" r="13970" b="3810"/>
            <wp:wrapTopAndBottom/>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5"/>
                    <a:stretch>
                      <a:fillRect/>
                    </a:stretch>
                  </pic:blipFill>
                  <pic:spPr>
                    <a:xfrm>
                      <a:off x="0" y="0"/>
                      <a:ext cx="6188710" cy="461391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提升长三角一体化发展水平</w:t>
      </w:r>
      <w:r>
        <w:rPr>
          <w:rFonts w:ascii="宋体" w:hAnsi="宋体" w:eastAsia="宋体" w:cs="宋体"/>
          <w:b w:val="0"/>
          <w:color w:val="000000"/>
          <w:sz w:val="25"/>
          <w:u w:val="none"/>
        </w:rPr>
        <w:t>　　瞄准国际先进科创能力和产业体系，加快建设长三角G60科创走廊和沿沪宁产业创新带，提高长三角地区配置全球资源能力和辐射带动全国发展能力。加快基础设施互联互通，实现长三角地级及以上城市高铁全覆盖，推进港口群一体化治理。打造虹桥国际开放枢纽，强化上海自贸试验区临港新片区开放型经济集聚功能，深化沪苏浙皖自贸试验区联动发展。加快公共服务便利共享，优化优质教育和医疗卫生资源布局。推进生态环境共保联治，高水平建设长三角生态绿色一体化发展示范区。</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5648" behindDoc="0" locked="0" layoutInCell="1" allowOverlap="0">
            <wp:simplePos x="0" y="0"/>
            <wp:positionH relativeFrom="column">
              <wp:align>left</wp:align>
            </wp:positionH>
            <wp:positionV relativeFrom="paragraph">
              <wp:align>top</wp:align>
            </wp:positionV>
            <wp:extent cx="6188710" cy="4765040"/>
            <wp:effectExtent l="0" t="0" r="13970" b="5080"/>
            <wp:wrapTopAndBottom/>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6"/>
                    <a:stretch>
                      <a:fillRect/>
                    </a:stretch>
                  </pic:blipFill>
                  <pic:spPr>
                    <a:xfrm>
                      <a:off x="0" y="0"/>
                      <a:ext cx="6188710" cy="476504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第五节　扎实推进黄河流域生态保护和高质量发展</w:t>
      </w:r>
      <w:r>
        <w:rPr>
          <w:rFonts w:ascii="宋体" w:hAnsi="宋体" w:eastAsia="宋体" w:cs="宋体"/>
          <w:b w:val="0"/>
          <w:color w:val="000000"/>
          <w:sz w:val="25"/>
          <w:u w:val="none"/>
        </w:rPr>
        <w:t>　　加大上游重点生态系统保护和修复力度，筑牢三江源“中华水塔”，提升甘南、若尔盖等区域水源涵养能力。创新中游黄土高原水土流失治理模式，积极开展小流域综合治理、旱作梯田和淤地坝建设。推动下游二级悬河治理和滩区综合治理，加强黄河三角洲湿地保护和修复。开展汾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第三十二章　深入实施区域协调发展战略</w:t>
      </w:r>
      <w:r>
        <w:rPr>
          <w:rFonts w:ascii="宋体" w:hAnsi="宋体" w:eastAsia="宋体" w:cs="宋体"/>
          <w:b w:val="0"/>
          <w:color w:val="000000"/>
          <w:sz w:val="25"/>
          <w:u w:val="none"/>
        </w:rPr>
        <w:t>　　深入推进西部大开发、东北全面振兴、中部地区崛起、东部率先发展，支持特殊类型地区加快发展，在发展中促进相对平衡。</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推进西部大开发形成新格局</w:t>
      </w:r>
      <w:r>
        <w:rPr>
          <w:rFonts w:ascii="宋体" w:hAnsi="宋体" w:eastAsia="宋体" w:cs="宋体"/>
          <w:b w:val="0"/>
          <w:color w:val="000000"/>
          <w:sz w:val="25"/>
          <w:u w:val="none"/>
        </w:rPr>
        <w:t>　　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一通道”，支持西藏打造面向南亚开放的重要通道。促进400毫米降水线西侧区域保护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推动东北振兴取得新突破</w:t>
      </w:r>
      <w:r>
        <w:rPr>
          <w:rFonts w:ascii="宋体" w:hAnsi="宋体" w:eastAsia="宋体" w:cs="宋体"/>
          <w:b w:val="0"/>
          <w:color w:val="000000"/>
          <w:sz w:val="25"/>
          <w:u w:val="none"/>
        </w:rPr>
        <w:t>　　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开创中部地区崛起新局面</w:t>
      </w:r>
      <w:r>
        <w:rPr>
          <w:rFonts w:ascii="宋体" w:hAnsi="宋体" w:eastAsia="宋体" w:cs="宋体"/>
          <w:b w:val="0"/>
          <w:color w:val="000000"/>
          <w:sz w:val="25"/>
          <w:u w:val="none"/>
        </w:rPr>
        <w:t>　　着力打造重要先进制造业基地、提高关键领域自主创新能力、建设内陆地区开放高地、巩固生态绿色发展格局，推动中部地区加快崛起。做大做强先进制造业，在长江、京广、陇海、京九等沿线建设一批中高端产业集群，积极承接新兴产业布局和转移。推动长江中游城市群协同发展，加快武汉、长株潭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鼓励东部地区加快推进现代化</w:t>
      </w:r>
      <w:r>
        <w:rPr>
          <w:rFonts w:ascii="宋体" w:hAnsi="宋体" w:eastAsia="宋体" w:cs="宋体"/>
          <w:b w:val="0"/>
          <w:color w:val="000000"/>
          <w:sz w:val="25"/>
          <w:u w:val="none"/>
        </w:rPr>
        <w:t>　　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第五节　支持特殊类型地区发展</w:t>
      </w:r>
      <w:r>
        <w:rPr>
          <w:rFonts w:ascii="宋体" w:hAnsi="宋体" w:eastAsia="宋体" w:cs="宋体"/>
          <w:b w:val="0"/>
          <w:color w:val="000000"/>
          <w:sz w:val="25"/>
          <w:u w:val="none"/>
        </w:rPr>
        <w:t>　　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措并举解决高海拔地区群众生产生活困难。推进兴边富民、稳边固边，大力改善边境地区生产生活条件，完善沿边城镇体系，支持边境口岸建设，加快抵边村镇和抵边通道建设。推动边境贸易创新发展。加大对重点边境地区发展精准支持力度。</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6672" behindDoc="0" locked="0" layoutInCell="1" allowOverlap="0">
            <wp:simplePos x="0" y="0"/>
            <wp:positionH relativeFrom="column">
              <wp:align>left</wp:align>
            </wp:positionH>
            <wp:positionV relativeFrom="paragraph">
              <wp:align>top</wp:align>
            </wp:positionV>
            <wp:extent cx="6188710" cy="5294630"/>
            <wp:effectExtent l="0" t="0" r="13970" b="8890"/>
            <wp:wrapTopAndBottom/>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7"/>
                    <a:stretch>
                      <a:fillRect/>
                    </a:stretch>
                  </pic:blipFill>
                  <pic:spPr>
                    <a:xfrm>
                      <a:off x="0" y="0"/>
                      <a:ext cx="6188710" cy="529463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第六节　健全区域协调发展体制机制</w:t>
      </w:r>
      <w:r>
        <w:rPr>
          <w:rFonts w:ascii="宋体" w:hAnsi="宋体" w:eastAsia="宋体" w:cs="宋体"/>
          <w:b w:val="0"/>
          <w:color w:val="000000"/>
          <w:sz w:val="25"/>
          <w:u w:val="none"/>
        </w:rPr>
        <w:t>　　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第三十三章　积极拓展海洋经济发展空间</w:t>
      </w:r>
      <w:r>
        <w:rPr>
          <w:rFonts w:ascii="宋体" w:hAnsi="宋体" w:eastAsia="宋体" w:cs="宋体"/>
          <w:b w:val="0"/>
          <w:color w:val="000000"/>
          <w:sz w:val="25"/>
          <w:u w:val="none"/>
        </w:rPr>
        <w:t>　　坚持陆海统筹、人海和谐、合作共赢，协同推进海洋生态保护、海洋经济发展和海洋权益维护，加快建设海洋强国。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建设现代海洋产业体系</w:t>
      </w:r>
      <w:r>
        <w:rPr>
          <w:rFonts w:ascii="宋体" w:hAnsi="宋体" w:eastAsia="宋体" w:cs="宋体"/>
          <w:b w:val="0"/>
          <w:color w:val="000000"/>
          <w:sz w:val="25"/>
          <w:u w:val="none"/>
        </w:rPr>
        <w:t>　　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打造可持续海洋生态环境</w:t>
      </w:r>
      <w:r>
        <w:rPr>
          <w:rFonts w:ascii="宋体" w:hAnsi="宋体" w:eastAsia="宋体" w:cs="宋体"/>
          <w:b w:val="0"/>
          <w:color w:val="000000"/>
          <w:sz w:val="25"/>
          <w:u w:val="none"/>
        </w:rPr>
        <w:t>　　探索建立沿海、流域、海域协同一体的综合治理体系。严格围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深度参与全球海洋治理</w:t>
      </w:r>
      <w:r>
        <w:rPr>
          <w:rFonts w:ascii="宋体" w:hAnsi="宋体" w:eastAsia="宋体" w:cs="宋体"/>
          <w:b w:val="0"/>
          <w:color w:val="000000"/>
          <w:sz w:val="25"/>
          <w:u w:val="none"/>
        </w:rPr>
        <w:t>　　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研判、风险防范和法理斗争，加强海事司法建设，坚决维护国家海洋权益。有序推进海洋基本法立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第十篇　发展社会主义先进文化　提升国家文化软实力</w:t>
      </w:r>
      <w:r>
        <w:rPr>
          <w:rFonts w:ascii="宋体" w:hAnsi="宋体" w:eastAsia="宋体" w:cs="宋体"/>
          <w:b w:val="0"/>
          <w:color w:val="000000"/>
          <w:sz w:val="25"/>
          <w:u w:val="none"/>
        </w:rPr>
        <w:t>　　坚持马克思主义在意识形态领域的指导地位，坚定文化自信，坚持以社会主义核心价值观引领文化建设，围绕举旗帜、聚民心、育新人、兴文化、展形象的使命任务，促进满足人民文化需求和增强人民精神力量相统一，推进社会主义文化强国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第三十四章　提高社会文明程度</w:t>
      </w:r>
      <w:r>
        <w:rPr>
          <w:rFonts w:ascii="宋体" w:hAnsi="宋体" w:eastAsia="宋体" w:cs="宋体"/>
          <w:b w:val="0"/>
          <w:color w:val="000000"/>
          <w:sz w:val="25"/>
          <w:u w:val="none"/>
        </w:rPr>
        <w:t>　　加强社会主义精神文明建设，培育和践行社会主义核心价值观，推动形成适应新时代要求的思想观念、精神面貌、文明风尚、行为规范。</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推动理想信念教育常态化制度化</w:t>
      </w:r>
      <w:r>
        <w:rPr>
          <w:rFonts w:ascii="宋体" w:hAnsi="宋体" w:eastAsia="宋体" w:cs="宋体"/>
          <w:b w:val="0"/>
          <w:color w:val="000000"/>
          <w:sz w:val="25"/>
          <w:u w:val="none"/>
        </w:rPr>
        <w:t>　　深入开展习近平新时代中国特色社会主义思想学习教育，健全用党的创新理论武装全党、教育人民的工作体系。建立健全“不忘初心、牢记使命”的制度和长效机制，加强和改进思想政治工作，持续开展中国特色社会主义和中国梦宣传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发展中国特色哲学社会科学</w:t>
      </w:r>
      <w:r>
        <w:rPr>
          <w:rFonts w:ascii="宋体" w:hAnsi="宋体" w:eastAsia="宋体" w:cs="宋体"/>
          <w:b w:val="0"/>
          <w:color w:val="000000"/>
          <w:sz w:val="25"/>
          <w:u w:val="none"/>
        </w:rPr>
        <w:t>　　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新型智库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传承弘扬中华优秀传统文化</w:t>
      </w:r>
      <w:r>
        <w:rPr>
          <w:rFonts w:ascii="宋体" w:hAnsi="宋体" w:eastAsia="宋体" w:cs="宋体"/>
          <w:b w:val="0"/>
          <w:color w:val="000000"/>
          <w:sz w:val="25"/>
          <w:u w:val="none"/>
        </w:rPr>
        <w:t>　　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持续提升公民文明素养</w:t>
      </w:r>
      <w:r>
        <w:rPr>
          <w:rFonts w:ascii="宋体" w:hAnsi="宋体" w:eastAsia="宋体" w:cs="宋体"/>
          <w:b w:val="0"/>
          <w:color w:val="000000"/>
          <w:sz w:val="25"/>
          <w:u w:val="none"/>
        </w:rPr>
        <w:t>　　推进公民道德建设，大力开展社会公德、职业道德、家庭美德、个人品德建设。开展国家勋章、国家荣誉称号获得者和时代楷模、道德模范、最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第三十五章　提升公共文化服务水平</w:t>
      </w:r>
      <w:r>
        <w:rPr>
          <w:rFonts w:ascii="宋体" w:hAnsi="宋体" w:eastAsia="宋体" w:cs="宋体"/>
          <w:b w:val="0"/>
          <w:color w:val="000000"/>
          <w:sz w:val="25"/>
          <w:u w:val="none"/>
        </w:rPr>
        <w:t>　　坚持为人民服务、为社会主义服务的方向，坚持百花齐放、百家争鸣的方针，加强公共文化服务体系建设和体制机制创新，强化中华文化传播推广和文明交流互鉴，更好保障人民文化权益。</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加强优秀文化作品创作生产传播</w:t>
      </w:r>
      <w:r>
        <w:rPr>
          <w:rFonts w:ascii="宋体" w:hAnsi="宋体" w:eastAsia="宋体" w:cs="宋体"/>
          <w:b w:val="0"/>
          <w:color w:val="000000"/>
          <w:sz w:val="25"/>
          <w:u w:val="none"/>
        </w:rPr>
        <w:t>　　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完善公共文化服务体系</w:t>
      </w:r>
      <w:r>
        <w:rPr>
          <w:rFonts w:ascii="宋体" w:hAnsi="宋体" w:eastAsia="宋体" w:cs="宋体"/>
          <w:b w:val="0"/>
          <w:color w:val="000000"/>
          <w:sz w:val="25"/>
          <w:u w:val="none"/>
        </w:rPr>
        <w:t>　　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提升中华文化影响力</w:t>
      </w:r>
      <w:r>
        <w:rPr>
          <w:rFonts w:ascii="宋体" w:hAnsi="宋体" w:eastAsia="宋体" w:cs="宋体"/>
          <w:b w:val="0"/>
          <w:color w:val="000000"/>
          <w:sz w:val="25"/>
          <w:u w:val="none"/>
        </w:rPr>
        <w:t>　　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第三十六章　健全现代文化产业体系</w:t>
      </w:r>
      <w:r>
        <w:rPr>
          <w:rFonts w:ascii="宋体" w:hAnsi="宋体" w:eastAsia="宋体" w:cs="宋体"/>
          <w:b w:val="0"/>
          <w:color w:val="000000"/>
          <w:sz w:val="25"/>
          <w:u w:val="none"/>
        </w:rPr>
        <w:t>　　坚持把社会效益放在首位、社会效益和经济效益相统一，健全现代文化产业体系和市场体系。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扩大优质文化产品供给</w:t>
      </w:r>
      <w:r>
        <w:rPr>
          <w:rFonts w:ascii="宋体" w:hAnsi="宋体" w:eastAsia="宋体" w:cs="宋体"/>
          <w:b w:val="0"/>
          <w:color w:val="000000"/>
          <w:sz w:val="25"/>
          <w:u w:val="none"/>
        </w:rPr>
        <w:t>　　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推动文化和旅游融合发展</w:t>
      </w:r>
      <w:r>
        <w:rPr>
          <w:rFonts w:ascii="宋体" w:hAnsi="宋体" w:eastAsia="宋体" w:cs="宋体"/>
          <w:b w:val="0"/>
          <w:color w:val="000000"/>
          <w:sz w:val="25"/>
          <w:u w:val="none"/>
        </w:rPr>
        <w:t>　　坚持以文塑旅、以旅彰文，打造独具魅力的中华文化旅游体验。深入发展大众旅游、智慧旅游，创新旅游产品体系，改善旅游消费体验。加强区域旅游品牌和服务整合，建设一批富有文化底蕴的世界级旅游景区和度假区，打造一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深化文化体制改革</w:t>
      </w:r>
      <w:r>
        <w:rPr>
          <w:rFonts w:ascii="宋体" w:hAnsi="宋体" w:eastAsia="宋体" w:cs="宋体"/>
          <w:b w:val="0"/>
          <w:color w:val="000000"/>
          <w:sz w:val="25"/>
          <w:u w:val="none"/>
        </w:rPr>
        <w:t>　　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7696" behindDoc="0" locked="0" layoutInCell="1" allowOverlap="0">
            <wp:simplePos x="0" y="0"/>
            <wp:positionH relativeFrom="column">
              <wp:align>left</wp:align>
            </wp:positionH>
            <wp:positionV relativeFrom="paragraph">
              <wp:align>top</wp:align>
            </wp:positionV>
            <wp:extent cx="6188710" cy="8785225"/>
            <wp:effectExtent l="0" t="0" r="13970" b="8255"/>
            <wp:wrapTopAndBottom/>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8"/>
                    <a:stretch>
                      <a:fillRect/>
                    </a:stretch>
                  </pic:blipFill>
                  <pic:spPr>
                    <a:xfrm>
                      <a:off x="0" y="0"/>
                      <a:ext cx="6188710" cy="878522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第十一篇　推动绿色发展　促进人与自然和谐共生</w:t>
      </w:r>
      <w:r>
        <w:rPr>
          <w:rFonts w:ascii="宋体" w:hAnsi="宋体" w:eastAsia="宋体" w:cs="宋体"/>
          <w:b w:val="0"/>
          <w:color w:val="000000"/>
          <w:sz w:val="25"/>
          <w:u w:val="none"/>
        </w:rPr>
        <w:t>　　坚持绿水青山就是金山银山理念，坚持尊重自然、顺应自然、保护自然，坚持节约优先、保护优先、自然恢复为主，实施可持续发展战略，完善生态文明领域统筹协调机制，构建生态文明体系，推动经济社会发展全面绿色转型，建设美丽中国。</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第三十七章　提升生态系统质量和稳定性</w:t>
      </w:r>
      <w:r>
        <w:rPr>
          <w:rFonts w:ascii="宋体" w:hAnsi="宋体" w:eastAsia="宋体" w:cs="宋体"/>
          <w:b w:val="0"/>
          <w:color w:val="000000"/>
          <w:sz w:val="25"/>
          <w:u w:val="none"/>
        </w:rPr>
        <w:t>　　坚持山水林田湖草系统治理，着力提高生态系统自我修复能力和稳定性，守住自然生态安全边界，促进自然生态系统质量整体改善。</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完善生态安全屏障体系</w:t>
      </w:r>
      <w:r>
        <w:rPr>
          <w:rFonts w:ascii="宋体" w:hAnsi="宋体" w:eastAsia="宋体" w:cs="宋体"/>
          <w:b w:val="0"/>
          <w:color w:val="000000"/>
          <w:sz w:val="25"/>
          <w:u w:val="none"/>
        </w:rPr>
        <w:t>　　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退围还滩还海成果。</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8720" behindDoc="0" locked="0" layoutInCell="1" allowOverlap="0">
            <wp:simplePos x="0" y="0"/>
            <wp:positionH relativeFrom="column">
              <wp:align>left</wp:align>
            </wp:positionH>
            <wp:positionV relativeFrom="paragraph">
              <wp:align>top</wp:align>
            </wp:positionV>
            <wp:extent cx="6188710" cy="4641215"/>
            <wp:effectExtent l="0" t="0" r="13970" b="6985"/>
            <wp:wrapTopAndBottom/>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9"/>
                    <a:stretch>
                      <a:fillRect/>
                    </a:stretch>
                  </pic:blipFill>
                  <pic:spPr>
                    <a:xfrm>
                      <a:off x="0" y="0"/>
                      <a:ext cx="6188710" cy="464121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构建自然保护地体系</w:t>
      </w:r>
      <w:r>
        <w:rPr>
          <w:rFonts w:ascii="宋体" w:hAnsi="宋体" w:eastAsia="宋体" w:cs="宋体"/>
          <w:b w:val="0"/>
          <w:color w:val="000000"/>
          <w:sz w:val="25"/>
          <w:u w:val="none"/>
        </w:rPr>
        <w:t>　　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健全生态保护补偿机制</w:t>
      </w:r>
      <w:r>
        <w:rPr>
          <w:rFonts w:ascii="宋体" w:hAnsi="宋体" w:eastAsia="宋体" w:cs="宋体"/>
          <w:b w:val="0"/>
          <w:color w:val="000000"/>
          <w:sz w:val="25"/>
          <w:u w:val="none"/>
        </w:rPr>
        <w:t>　　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全流域生态补偿机制。建立生态产品价值实现机制，在长江流域和三江源国家公园等开展试点。制定实施生态保护补偿条例。</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79744" behindDoc="0" locked="0" layoutInCell="1" allowOverlap="0">
            <wp:simplePos x="0" y="0"/>
            <wp:positionH relativeFrom="column">
              <wp:align>left</wp:align>
            </wp:positionH>
            <wp:positionV relativeFrom="paragraph">
              <wp:align>top</wp:align>
            </wp:positionV>
            <wp:extent cx="5721985" cy="8863330"/>
            <wp:effectExtent l="0" t="0" r="8255" b="6350"/>
            <wp:wrapTopAndBottom/>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0"/>
                    <a:stretch>
                      <a:fillRect/>
                    </a:stretch>
                  </pic:blipFill>
                  <pic:spPr>
                    <a:xfrm>
                      <a:off x="0" y="0"/>
                      <a:ext cx="5721985" cy="886333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第三十八章　持续改善环境质量</w:t>
      </w:r>
      <w:r>
        <w:rPr>
          <w:rFonts w:ascii="宋体" w:hAnsi="宋体" w:eastAsia="宋体" w:cs="宋体"/>
          <w:b w:val="0"/>
          <w:color w:val="000000"/>
          <w:sz w:val="25"/>
          <w:u w:val="none"/>
        </w:rPr>
        <w:t>　　深入打好污染防治攻坚战，建立健全环境治理体系，推进精准、科学、依法、系统治污，协同推进减污降碳，不断改善空气、水环境质量，有效管控土壤污染风险。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深入开展污染防治行动</w:t>
      </w:r>
      <w:r>
        <w:rPr>
          <w:rFonts w:ascii="宋体" w:hAnsi="宋体" w:eastAsia="宋体" w:cs="宋体"/>
          <w:b w:val="0"/>
          <w:color w:val="000000"/>
          <w:sz w:val="25"/>
          <w:u w:val="none"/>
        </w:rPr>
        <w:t>　　坚持源头防治、综合施策，强化多污染物协同控制和区域协同治理。加强城市大气质量达标管理，推进细颗粒物（PM2.5）和臭氧（O3）协同控制，地级及以上城市PM2.5浓度下降10%，有效遏制O3浓度增长趋势，基本消除重污染天气。持续改善京津冀及周边地区、汾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类国控断面和城市黑臭水体。开展城市饮用水水源地规范化建设，推进重点流域重污染企业搬迁改造。推进受污染耕地和建设用地管控修复，实施水土环境风险协同防控。加强塑料污染全链条防治。加强环境噪声污染治理。重视新污染物治理。</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全面提升环境基础设施水平</w:t>
      </w:r>
      <w:r>
        <w:rPr>
          <w:rFonts w:ascii="宋体" w:hAnsi="宋体" w:eastAsia="宋体" w:cs="宋体"/>
          <w:b w:val="0"/>
          <w:color w:val="000000"/>
          <w:sz w:val="25"/>
          <w:u w:val="none"/>
        </w:rPr>
        <w:t>　　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严密防控环境风险</w:t>
      </w:r>
      <w:r>
        <w:rPr>
          <w:rFonts w:ascii="宋体" w:hAnsi="宋体" w:eastAsia="宋体" w:cs="宋体"/>
          <w:b w:val="0"/>
          <w:color w:val="000000"/>
          <w:sz w:val="25"/>
          <w:u w:val="none"/>
        </w:rPr>
        <w:t>　　建立健全重点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积极应对气候变化</w:t>
      </w:r>
      <w:r>
        <w:rPr>
          <w:rFonts w:ascii="宋体" w:hAnsi="宋体" w:eastAsia="宋体" w:cs="宋体"/>
          <w:b w:val="0"/>
          <w:color w:val="000000"/>
          <w:sz w:val="25"/>
          <w:u w:val="none"/>
        </w:rPr>
        <w:t>　　落实2030年应对气候变化国家自主贡献目标，制定2030年前碳排放达峰行动方案。完善能源消费总量和强度双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生态系统碳汇能力。锚定努力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第五节　健全现代环境治理体系</w:t>
      </w:r>
      <w:r>
        <w:rPr>
          <w:rFonts w:ascii="宋体" w:hAnsi="宋体" w:eastAsia="宋体" w:cs="宋体"/>
          <w:b w:val="0"/>
          <w:color w:val="000000"/>
          <w:sz w:val="25"/>
          <w:u w:val="none"/>
        </w:rPr>
        <w:t>　　建立地上地下、陆海统筹的生态环境治理制度。全面实行排污许可制，实现所有固定污染源排污许可证核发，推动工业污染源限期达标排放，推进排污权、用能权、用水权、碳排放权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（注：PM2.5为PM右下角加2.5，O3为O右下角加3）</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第三十九章　加快发展方式绿色转型</w:t>
      </w:r>
      <w:r>
        <w:rPr>
          <w:rFonts w:ascii="宋体" w:hAnsi="宋体" w:eastAsia="宋体" w:cs="宋体"/>
          <w:b w:val="0"/>
          <w:color w:val="000000"/>
          <w:sz w:val="25"/>
          <w:u w:val="none"/>
        </w:rPr>
        <w:t>　　坚持生态优先、绿色发展，推进资源总量管理、科学配置、全面节约、循环利用，协同推进经济高质量发展和生态环境高水平保护。</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全面提高资源利用效率</w:t>
      </w:r>
      <w:r>
        <w:rPr>
          <w:rFonts w:ascii="宋体" w:hAnsi="宋体" w:eastAsia="宋体" w:cs="宋体"/>
          <w:b w:val="0"/>
          <w:color w:val="000000"/>
          <w:sz w:val="25"/>
          <w:u w:val="none"/>
        </w:rPr>
        <w:t>　　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构建资源循环利用体系</w:t>
      </w:r>
      <w:r>
        <w:rPr>
          <w:rFonts w:ascii="宋体" w:hAnsi="宋体" w:eastAsia="宋体" w:cs="宋体"/>
          <w:b w:val="0"/>
          <w:color w:val="000000"/>
          <w:sz w:val="25"/>
          <w:u w:val="none"/>
        </w:rPr>
        <w:t>　　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健全线上线下融合、流向可控的资源回收体系。拓展生产者责任延伸制度覆盖范围。推进快递包装减量化、标准化、循环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大力发展绿色经济</w:t>
      </w:r>
      <w:r>
        <w:rPr>
          <w:rFonts w:ascii="宋体" w:hAnsi="宋体" w:eastAsia="宋体" w:cs="宋体"/>
          <w:b w:val="0"/>
          <w:color w:val="000000"/>
          <w:sz w:val="25"/>
          <w:u w:val="none"/>
        </w:rPr>
        <w:t>　　坚决遏制高耗能、高排放项目盲目发展，推动绿色转型实现积极发展。壮大节能环保、清洁生产、清洁能源、生态环境、基础设施绿色升级、绿色服务等产业，推广合同能源管理、合同节水管理、环境污染第三方治理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构建绿色发展政策体系</w:t>
      </w:r>
      <w:r>
        <w:rPr>
          <w:rFonts w:ascii="宋体" w:hAnsi="宋体" w:eastAsia="宋体" w:cs="宋体"/>
          <w:b w:val="0"/>
          <w:color w:val="000000"/>
          <w:sz w:val="25"/>
          <w:u w:val="none"/>
        </w:rPr>
        <w:t>　　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80768" behindDoc="0" locked="0" layoutInCell="1" allowOverlap="0">
            <wp:simplePos x="0" y="0"/>
            <wp:positionH relativeFrom="column">
              <wp:align>left</wp:align>
            </wp:positionH>
            <wp:positionV relativeFrom="paragraph">
              <wp:align>top</wp:align>
            </wp:positionV>
            <wp:extent cx="6188710" cy="7856220"/>
            <wp:effectExtent l="0" t="0" r="13970" b="7620"/>
            <wp:wrapTopAndBottom/>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1"/>
                    <a:stretch>
                      <a:fillRect/>
                    </a:stretch>
                  </pic:blipFill>
                  <pic:spPr>
                    <a:xfrm>
                      <a:off x="0" y="0"/>
                      <a:ext cx="6188710" cy="785622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第十二篇　实行高水平对外开放　开拓合作共赢新局面</w:t>
      </w:r>
      <w:r>
        <w:rPr>
          <w:rFonts w:ascii="宋体" w:hAnsi="宋体" w:eastAsia="宋体" w:cs="宋体"/>
          <w:b w:val="0"/>
          <w:color w:val="000000"/>
          <w:sz w:val="25"/>
          <w:u w:val="none"/>
        </w:rPr>
        <w:t>　　坚持实施更大范围、更宽领域、更深层次对外开放，依托我国超大规模市场优势，促进国际合作，实现互利共赢，推动共建“一带一路”行稳致远，推动构建人类命运共同体。</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第四十章　建设更高水平开放型经济新体制</w:t>
      </w:r>
      <w:r>
        <w:rPr>
          <w:rFonts w:ascii="宋体" w:hAnsi="宋体" w:eastAsia="宋体" w:cs="宋体"/>
          <w:b w:val="0"/>
          <w:color w:val="000000"/>
          <w:sz w:val="25"/>
          <w:u w:val="none"/>
        </w:rPr>
        <w:t>　　全面提高对外开放水平，推进贸易和投资自由化便利化，持续深化商品和要素流动型开放，稳步拓展规则、规制、管理、标准等制度型开放。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加快推进制度型开放</w:t>
      </w:r>
      <w:r>
        <w:rPr>
          <w:rFonts w:ascii="宋体" w:hAnsi="宋体" w:eastAsia="宋体" w:cs="宋体"/>
          <w:b w:val="0"/>
          <w:color w:val="000000"/>
          <w:sz w:val="25"/>
          <w:u w:val="none"/>
        </w:rPr>
        <w:t>　　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慎推进人民币国际化，坚持市场驱动和企业自主选择，营造以人民币自由使用为基础的新型互利合作关系。完善出入境、海关、外汇、税收等环节管理服务。</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提升对外开放平台功能</w:t>
      </w:r>
      <w:r>
        <w:rPr>
          <w:rFonts w:ascii="宋体" w:hAnsi="宋体" w:eastAsia="宋体" w:cs="宋体"/>
          <w:b w:val="0"/>
          <w:color w:val="000000"/>
          <w:sz w:val="25"/>
          <w:u w:val="none"/>
        </w:rPr>
        <w:t>　　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优化区域开放布局</w:t>
      </w:r>
      <w:r>
        <w:rPr>
          <w:rFonts w:ascii="宋体" w:hAnsi="宋体" w:eastAsia="宋体" w:cs="宋体"/>
          <w:b w:val="0"/>
          <w:color w:val="000000"/>
          <w:sz w:val="25"/>
          <w:u w:val="none"/>
        </w:rPr>
        <w:t>　　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健全开放安全保障体系</w:t>
      </w:r>
      <w:r>
        <w:rPr>
          <w:rFonts w:ascii="宋体" w:hAnsi="宋体" w:eastAsia="宋体" w:cs="宋体"/>
          <w:b w:val="0"/>
          <w:color w:val="000000"/>
          <w:sz w:val="25"/>
          <w:u w:val="none"/>
        </w:rPr>
        <w:t>　　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链风险预警系统，加强国际供应链保障合作。加强国际收支监测，保持国际收支基本平衡和外汇储备基本稳定。加强对外资产负债监测，建立健全全口径外债监管体系。完善境外投资分类分级监管体系。构建海外利益保护和风险预警防范体系。优化提升驻外外交机构基础设施保障能力，完善领事保护工作体制机制，维护海外中国公民、机构安全和正当权益。</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第四十一章　推动共建“一带一路”高质量发展</w:t>
      </w:r>
      <w:r>
        <w:rPr>
          <w:rFonts w:ascii="宋体" w:hAnsi="宋体" w:eastAsia="宋体" w:cs="宋体"/>
          <w:b w:val="0"/>
          <w:color w:val="000000"/>
          <w:sz w:val="25"/>
          <w:u w:val="none"/>
        </w:rPr>
        <w:t>　　坚持共商共建共享原则，秉持绿色、开放、廉洁理念，深化务实合作，加强安全保障，促进共同发展。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加强发展战略和政策对接</w:t>
      </w:r>
      <w:r>
        <w:rPr>
          <w:rFonts w:ascii="宋体" w:hAnsi="宋体" w:eastAsia="宋体" w:cs="宋体"/>
          <w:b w:val="0"/>
          <w:color w:val="000000"/>
          <w:sz w:val="25"/>
          <w:u w:val="none"/>
        </w:rPr>
        <w:t>　　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推进基础设施互联互通</w:t>
      </w:r>
      <w:r>
        <w:rPr>
          <w:rFonts w:ascii="宋体" w:hAnsi="宋体" w:eastAsia="宋体" w:cs="宋体"/>
          <w:b w:val="0"/>
          <w:color w:val="000000"/>
          <w:sz w:val="25"/>
          <w:u w:val="none"/>
        </w:rPr>
        <w:t>　　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运贸易规则制定。扩大“丝路海运”品牌影响。推进福建、新疆建设“一带一路”核心区。推进“一带一路”空间信息走廊建设。建设“空中丝绸之路”。</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深化经贸投资务实合作</w:t>
      </w:r>
      <w:r>
        <w:rPr>
          <w:rFonts w:ascii="宋体" w:hAnsi="宋体" w:eastAsia="宋体" w:cs="宋体"/>
          <w:b w:val="0"/>
          <w:color w:val="000000"/>
          <w:sz w:val="25"/>
          <w:u w:val="none"/>
        </w:rPr>
        <w:t>　　推动与共建“一带一路”国家贸易投资合作优化升级，积极发展丝路电商。深化国际产能合作，拓展第三方市场合作，构筑互利共赢的产业链供应链合作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架设文明互学互鉴桥梁</w:t>
      </w:r>
      <w:r>
        <w:rPr>
          <w:rFonts w:ascii="宋体" w:hAnsi="宋体" w:eastAsia="宋体" w:cs="宋体"/>
          <w:b w:val="0"/>
          <w:color w:val="000000"/>
          <w:sz w:val="25"/>
          <w:u w:val="none"/>
        </w:rPr>
        <w:t>　　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第四十二章　积极参与全球治理体系改革和建设</w:t>
      </w:r>
      <w:r>
        <w:rPr>
          <w:rFonts w:ascii="宋体" w:hAnsi="宋体" w:eastAsia="宋体" w:cs="宋体"/>
          <w:b w:val="0"/>
          <w:color w:val="000000"/>
          <w:sz w:val="25"/>
          <w:u w:val="none"/>
        </w:rPr>
        <w:t>　　高举和平、发展、合作、共赢旗帜，坚持独立自主的和平外交政策，推动构建新型国际关系，推动全球治理体系朝着更加公正合理的方向发展。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维护和完善多边经济治理机制</w:t>
      </w:r>
      <w:r>
        <w:rPr>
          <w:rFonts w:ascii="宋体" w:hAnsi="宋体" w:eastAsia="宋体" w:cs="宋体"/>
          <w:b w:val="0"/>
          <w:color w:val="000000"/>
          <w:sz w:val="25"/>
          <w:u w:val="none"/>
        </w:rPr>
        <w:t>　　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链供应链稳定畅通、全球金融市场稳定，合力促进世界经济增长。推动新兴领域经济治理规则制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构建高标准自由贸易区网络</w:t>
      </w:r>
      <w:r>
        <w:rPr>
          <w:rFonts w:ascii="宋体" w:hAnsi="宋体" w:eastAsia="宋体" w:cs="宋体"/>
          <w:b w:val="0"/>
          <w:color w:val="000000"/>
          <w:sz w:val="25"/>
          <w:u w:val="none"/>
        </w:rPr>
        <w:t>　　实施自由贸易区提升战略，构建面向全球的高标准自由贸易区网络。优化自由贸易区布局，推动区域全面经济伙伴关系协定实施，加快中日韩自由贸易协定谈判进程，稳步推进亚太自贸区建设。提升自由贸易区建设水平，积极考虑加入全面与进步跨太平洋伙伴关系协定，推动商签更多高标准自由贸易协定和区域贸易协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积极营造良好外部环境</w:t>
      </w:r>
      <w:r>
        <w:rPr>
          <w:rFonts w:ascii="宋体" w:hAnsi="宋体" w:eastAsia="宋体" w:cs="宋体"/>
          <w:b w:val="0"/>
          <w:color w:val="000000"/>
          <w:sz w:val="25"/>
          <w:u w:val="none"/>
        </w:rPr>
        <w:t>　　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和援助。积极落实联合国2030年可持续发展议程。</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第十三篇　提升国民素质　促进人的全面发展</w:t>
      </w:r>
      <w:r>
        <w:rPr>
          <w:rFonts w:ascii="宋体" w:hAnsi="宋体" w:eastAsia="宋体" w:cs="宋体"/>
          <w:b w:val="0"/>
          <w:color w:val="000000"/>
          <w:sz w:val="25"/>
          <w:u w:val="none"/>
        </w:rPr>
        <w:t>　　把提升国民素质放在突出重要位置，构建高质量的教育体系和全方位全周期的健康体系，优化人口结构，拓展人口质量红利，提升人力资本水平和人的全面发展能力。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第四十三章　建设高质量教育体系</w:t>
      </w:r>
      <w:r>
        <w:rPr>
          <w:rFonts w:ascii="宋体" w:hAnsi="宋体" w:eastAsia="宋体" w:cs="宋体"/>
          <w:b w:val="0"/>
          <w:color w:val="000000"/>
          <w:sz w:val="25"/>
          <w:u w:val="none"/>
        </w:rPr>
        <w:t>　　全面贯彻党的教育方针，坚持优先发展教育事业，坚持立德树人，增强学生文明素养、社会责任意识、实践本领，培养德智体美劳全面发展的社会主义建设者和接班人。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推进基本公共教育均等化</w:t>
      </w:r>
      <w:r>
        <w:rPr>
          <w:rFonts w:ascii="宋体" w:hAnsi="宋体" w:eastAsia="宋体" w:cs="宋体"/>
          <w:b w:val="0"/>
          <w:color w:val="000000"/>
          <w:sz w:val="25"/>
          <w:u w:val="none"/>
        </w:rPr>
        <w:t>　　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控辍保学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增强职业技术教育适应性</w:t>
      </w:r>
      <w:r>
        <w:rPr>
          <w:rFonts w:ascii="宋体" w:hAnsi="宋体" w:eastAsia="宋体" w:cs="宋体"/>
          <w:b w:val="0"/>
          <w:color w:val="000000"/>
          <w:sz w:val="25"/>
          <w:u w:val="none"/>
        </w:rPr>
        <w:t>　　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深化职普融通，实现职业技术教育与普通教育双向互认、纵向流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提高高等教育质量</w:t>
      </w:r>
      <w:r>
        <w:rPr>
          <w:rFonts w:ascii="宋体" w:hAnsi="宋体" w:eastAsia="宋体" w:cs="宋体"/>
          <w:b w:val="0"/>
          <w:color w:val="000000"/>
          <w:sz w:val="25"/>
          <w:u w:val="none"/>
        </w:rPr>
        <w:t>　　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医类专业紧缺人才。加强研究生培养管理，提升研究生教育质量，稳步扩大专业学位研究生规模。优化区域高等教育资源布局，推进中西部地区高等教育振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建设高素质专业化教师队伍</w:t>
      </w:r>
      <w:r>
        <w:rPr>
          <w:rFonts w:ascii="宋体" w:hAnsi="宋体" w:eastAsia="宋体" w:cs="宋体"/>
          <w:b w:val="0"/>
          <w:color w:val="000000"/>
          <w:sz w:val="25"/>
          <w:u w:val="none"/>
        </w:rPr>
        <w:t>　　建立高水平现代教师教育体系，加强师德师风建设，完善教师管理和发展政策体系，提升教师教书育人能力素质。重点建设一批师范教育基地，支持高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第五节　深化教育改革</w:t>
      </w:r>
      <w:r>
        <w:rPr>
          <w:rFonts w:ascii="宋体" w:hAnsi="宋体" w:eastAsia="宋体" w:cs="宋体"/>
          <w:b w:val="0"/>
          <w:color w:val="000000"/>
          <w:sz w:val="25"/>
          <w:u w:val="none"/>
        </w:rPr>
        <w:t>　　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81792" behindDoc="0" locked="0" layoutInCell="1" allowOverlap="0">
            <wp:simplePos x="0" y="0"/>
            <wp:positionH relativeFrom="column">
              <wp:align>left</wp:align>
            </wp:positionH>
            <wp:positionV relativeFrom="paragraph">
              <wp:align>top</wp:align>
            </wp:positionV>
            <wp:extent cx="6188710" cy="4785995"/>
            <wp:effectExtent l="0" t="0" r="13970" b="14605"/>
            <wp:wrapTopAndBottom/>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2"/>
                    <a:stretch>
                      <a:fillRect/>
                    </a:stretch>
                  </pic:blipFill>
                  <pic:spPr>
                    <a:xfrm>
                      <a:off x="0" y="0"/>
                      <a:ext cx="6188710" cy="478599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第四十四章　全面推进健康中国建设</w:t>
      </w:r>
      <w:r>
        <w:rPr>
          <w:rFonts w:ascii="宋体" w:hAnsi="宋体" w:eastAsia="宋体" w:cs="宋体"/>
          <w:b w:val="0"/>
          <w:color w:val="000000"/>
          <w:sz w:val="25"/>
          <w:u w:val="none"/>
        </w:rPr>
        <w:t>　　把保障人民健康放在优先发展的战略位置，坚持预防为主的方针，深入实施健康中国行动，完善国民健康促进政策，织牢国家公共卫生防护网，为人民提供全方位全生命期健康服务。</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构建强大公共卫生体系</w:t>
      </w:r>
      <w:r>
        <w:rPr>
          <w:rFonts w:ascii="宋体" w:hAnsi="宋体" w:eastAsia="宋体" w:cs="宋体"/>
          <w:b w:val="0"/>
          <w:color w:val="000000"/>
          <w:sz w:val="25"/>
          <w:u w:val="none"/>
        </w:rPr>
        <w:t>　　改革疾病预防控制体系，强化监测预警、风险评估、流行病学调查、检验检测、应急处置等职能。建立稳定的公共卫生事业投入机制，改善疾控基础条件，强化基层公共卫生体系。落实医疗机构公共卫生责任，创新医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疫结合改造接口。筑牢口岸防疫防线。加强公共卫生学院和人才队伍建设。完善公共卫生服务项目，扩大国家免疫规划，强化慢性病预防、早期筛查和综合干预。完善心理健康和精神卫生服务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深化医药卫生体制改革</w:t>
      </w:r>
      <w:r>
        <w:rPr>
          <w:rFonts w:ascii="宋体" w:hAnsi="宋体" w:eastAsia="宋体" w:cs="宋体"/>
          <w:b w:val="0"/>
          <w:color w:val="000000"/>
          <w:sz w:val="25"/>
          <w:u w:val="none"/>
        </w:rPr>
        <w:t>　　坚持基本医疗卫生事业公益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审评审批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稳步扩大城乡家庭医生签约服务覆盖范围，提高签约服务质量。支持社会办医，鼓励有经验的执业医师开办诊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健全全民医保制度</w:t>
      </w:r>
      <w:r>
        <w:rPr>
          <w:rFonts w:ascii="宋体" w:hAnsi="宋体" w:eastAsia="宋体" w:cs="宋体"/>
          <w:b w:val="0"/>
          <w:color w:val="000000"/>
          <w:sz w:val="25"/>
          <w:u w:val="none"/>
        </w:rPr>
        <w:t>　　健全基本医疗保险稳定可持续筹资和待遇调整机制，完善医保缴费参保政策，实行医疗保障待遇清单制度。做实基本医疗保险市级统筹，推动省级统筹。完善基本医疗保险门诊共济保障机制，健全重大疾病医疗保险和救助制度。完善医保目录动态调整机制。推行以按病种付费为主的多元复合式医保支付方式。将符合条件的互联网医疗服务纳入医保支付范围，落实异地就医结算。扎实推进医保标准化、信息化建设，提升经办服务水平。健全医保基金监管机制。稳步建立长期护理保险制度。积极发展商业医疗保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推动中医药传承创新</w:t>
      </w:r>
      <w:r>
        <w:rPr>
          <w:rFonts w:ascii="宋体" w:hAnsi="宋体" w:eastAsia="宋体" w:cs="宋体"/>
          <w:b w:val="0"/>
          <w:color w:val="000000"/>
          <w:sz w:val="25"/>
          <w:u w:val="none"/>
        </w:rPr>
        <w:t>　　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审评审批机制，促进中药新药研发保护和产业发展。强化中药质量监管，促进中药质量提升。强化中医药特色人才培养，加强中医药文化传承与创新发展，推动中医药走向世界。</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第五节　建设体育强国</w:t>
      </w:r>
      <w:r>
        <w:rPr>
          <w:rFonts w:ascii="宋体" w:hAnsi="宋体" w:eastAsia="宋体" w:cs="宋体"/>
          <w:b w:val="0"/>
          <w:color w:val="000000"/>
          <w:sz w:val="25"/>
          <w:u w:val="none"/>
        </w:rPr>
        <w:t>　　广泛开展全民健身运动，增强人民体质。推动健康关口前移，深化体教融合、体卫融合、体旅融合。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第六节　深入开展爱国卫生运动</w:t>
      </w:r>
      <w:r>
        <w:rPr>
          <w:rFonts w:ascii="宋体" w:hAnsi="宋体" w:eastAsia="宋体" w:cs="宋体"/>
          <w:b w:val="0"/>
          <w:color w:val="000000"/>
          <w:sz w:val="25"/>
          <w:u w:val="none"/>
        </w:rPr>
        <w:t>　　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82816" behindDoc="0" locked="0" layoutInCell="1" allowOverlap="0">
            <wp:simplePos x="0" y="0"/>
            <wp:positionH relativeFrom="column">
              <wp:align>left</wp:align>
            </wp:positionH>
            <wp:positionV relativeFrom="paragraph">
              <wp:align>top</wp:align>
            </wp:positionV>
            <wp:extent cx="6188710" cy="6726555"/>
            <wp:effectExtent l="0" t="0" r="13970" b="9525"/>
            <wp:wrapTopAndBottom/>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33"/>
                    <a:stretch>
                      <a:fillRect/>
                    </a:stretch>
                  </pic:blipFill>
                  <pic:spPr>
                    <a:xfrm>
                      <a:off x="0" y="0"/>
                      <a:ext cx="6188710" cy="672655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第四十五章　实施积极应对人口老龄化国家战略</w:t>
      </w:r>
      <w:r>
        <w:rPr>
          <w:rFonts w:ascii="宋体" w:hAnsi="宋体" w:eastAsia="宋体" w:cs="宋体"/>
          <w:b w:val="0"/>
          <w:color w:val="000000"/>
          <w:sz w:val="25"/>
          <w:u w:val="none"/>
        </w:rPr>
        <w:t>　　制定人口长期发展战略，优化生育政策，以“一老一小”为重点完善人口服务体系，促进人口长期均衡发展。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推动实现适度生育水平</w:t>
      </w:r>
      <w:r>
        <w:rPr>
          <w:rFonts w:ascii="宋体" w:hAnsi="宋体" w:eastAsia="宋体" w:cs="宋体"/>
          <w:b w:val="0"/>
          <w:color w:val="000000"/>
          <w:sz w:val="25"/>
          <w:u w:val="none"/>
        </w:rPr>
        <w:t>　　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孕产期健康服务，提高出生人口质量。建立健全计划生育特殊困难家庭全方位帮扶保障制度。改革完善人口统计和监测体系，密切监测生育形势。深化人口发展战略研究，健全人口与发展综合决策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健全婴幼儿发展政策</w:t>
      </w:r>
      <w:r>
        <w:rPr>
          <w:rFonts w:ascii="宋体" w:hAnsi="宋体" w:eastAsia="宋体" w:cs="宋体"/>
          <w:b w:val="0"/>
          <w:color w:val="000000"/>
          <w:sz w:val="25"/>
          <w:u w:val="none"/>
        </w:rPr>
        <w:t>　　发展普惠托育服务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完善养老服务体系</w:t>
      </w:r>
      <w:r>
        <w:rPr>
          <w:rFonts w:ascii="宋体" w:hAnsi="宋体" w:eastAsia="宋体" w:cs="宋体"/>
          <w:b w:val="0"/>
          <w:color w:val="000000"/>
          <w:sz w:val="25"/>
          <w:u w:val="none"/>
        </w:rPr>
        <w:t>　　推动养老事业和养老产业协同发展，健全基本养老服务体系，大力发展普惠型养老服务，支持家庭承担养老功能，构建居家社区机构相协调、医养康养相结合的养老服务体系。完善社区居家养老服务网络，推进公共设施适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城企联动专项行动。加强老年健康服务，深入推进医养康养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适老化技术和产品，培育智慧养老等新业态。</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83840" behindDoc="0" locked="0" layoutInCell="1" allowOverlap="0">
            <wp:simplePos x="0" y="0"/>
            <wp:positionH relativeFrom="column">
              <wp:align>left</wp:align>
            </wp:positionH>
            <wp:positionV relativeFrom="paragraph">
              <wp:align>top</wp:align>
            </wp:positionV>
            <wp:extent cx="6188710" cy="4689475"/>
            <wp:effectExtent l="0" t="0" r="13970" b="4445"/>
            <wp:wrapTopAndBottom/>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4"/>
                    <a:stretch>
                      <a:fillRect/>
                    </a:stretch>
                  </pic:blipFill>
                  <pic:spPr>
                    <a:xfrm>
                      <a:off x="0" y="0"/>
                      <a:ext cx="6188710" cy="468947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第十四篇　增进民生福祉　提升共建共治共享水平</w:t>
      </w:r>
      <w:r>
        <w:rPr>
          <w:rFonts w:ascii="宋体" w:hAnsi="宋体" w:eastAsia="宋体" w:cs="宋体"/>
          <w:b w:val="0"/>
          <w:color w:val="000000"/>
          <w:sz w:val="25"/>
          <w:u w:val="none"/>
        </w:rPr>
        <w:t>　　坚持尽力而为、量力而行，健全基本公共服务体系，加强普惠性、基础性、兜底性民生建设，完善共建共治共享的社会治理制度，制定促进共同富裕行动纲要，自觉主动缩小地区、城乡和收入差距，让发展成果更多更公平惠及全体人民，不断增强人民群众获得感、幸福感、安全感。</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第四十六章　健全国家公共服务制度体系</w:t>
      </w:r>
      <w:r>
        <w:rPr>
          <w:rFonts w:ascii="宋体" w:hAnsi="宋体" w:eastAsia="宋体" w:cs="宋体"/>
          <w:b w:val="0"/>
          <w:color w:val="000000"/>
          <w:sz w:val="25"/>
          <w:u w:val="none"/>
        </w:rPr>
        <w:t>　　加快补齐基本公共服务短板，着力增强非基本公共服务弱项，努力提升公共服务质量和水平。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提高基本公共服务均等化水平</w:t>
      </w:r>
      <w:r>
        <w:rPr>
          <w:rFonts w:ascii="宋体" w:hAnsi="宋体" w:eastAsia="宋体" w:cs="宋体"/>
          <w:b w:val="0"/>
          <w:color w:val="000000"/>
          <w:sz w:val="25"/>
          <w:u w:val="none"/>
        </w:rPr>
        <w:t>　　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创新公共服务提供方式</w:t>
      </w:r>
      <w:r>
        <w:rPr>
          <w:rFonts w:ascii="宋体" w:hAnsi="宋体" w:eastAsia="宋体" w:cs="宋体"/>
          <w:b w:val="0"/>
          <w:color w:val="000000"/>
          <w:sz w:val="25"/>
          <w:u w:val="none"/>
        </w:rPr>
        <w:t>　　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完善公共服务政策保障体系</w:t>
      </w:r>
      <w:r>
        <w:rPr>
          <w:rFonts w:ascii="宋体" w:hAnsi="宋体" w:eastAsia="宋体" w:cs="宋体"/>
          <w:b w:val="0"/>
          <w:color w:val="000000"/>
          <w:sz w:val="25"/>
          <w:u w:val="none"/>
        </w:rPr>
        <w:t>　　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第四十七章　实施就业优先战略</w:t>
      </w:r>
      <w:r>
        <w:rPr>
          <w:rFonts w:ascii="宋体" w:hAnsi="宋体" w:eastAsia="宋体" w:cs="宋体"/>
          <w:b w:val="0"/>
          <w:color w:val="000000"/>
          <w:sz w:val="25"/>
          <w:u w:val="none"/>
        </w:rPr>
        <w:t>　　健全有利于更充分更高质量就业的促进机制，扩大就业容量，提升就业质量，缓解结构性就业矛盾。</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强化就业优先政策</w:t>
      </w:r>
      <w:r>
        <w:rPr>
          <w:rFonts w:ascii="宋体" w:hAnsi="宋体" w:eastAsia="宋体" w:cs="宋体"/>
          <w:b w:val="0"/>
          <w:color w:val="000000"/>
          <w:sz w:val="25"/>
          <w:u w:val="none"/>
        </w:rPr>
        <w:t>　　坚持经济发展就业导向，健全就业目标责任考核机制和就业影响评估机制。完善高校毕业生、退役军人、农民工等重点群体就业支持体系。完善与就业容量挂钩的产业政策，支持吸纳就业能力强的服务业、中小微企业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零就业家庭成员等困难人员就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健全就业公共服务体系</w:t>
      </w:r>
      <w:r>
        <w:rPr>
          <w:rFonts w:ascii="宋体" w:hAnsi="宋体" w:eastAsia="宋体" w:cs="宋体"/>
          <w:b w:val="0"/>
          <w:color w:val="000000"/>
          <w:sz w:val="25"/>
          <w:u w:val="none"/>
        </w:rPr>
        <w:t>　　健全覆盖城乡的就业公共服务体系，加强基层公共就业创业服务平台建设，为劳动者和企业免费提供政策咨询、职业介绍、用工指导等服务。构建常态化援企稳岗帮扶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全面提升劳动者就业创业能力</w:t>
      </w:r>
      <w:r>
        <w:rPr>
          <w:rFonts w:ascii="宋体" w:hAnsi="宋体" w:eastAsia="宋体" w:cs="宋体"/>
          <w:b w:val="0"/>
          <w:color w:val="000000"/>
          <w:sz w:val="25"/>
          <w:u w:val="none"/>
        </w:rPr>
        <w:t>　　健全终身技能培训制度，持续大规模开展职业技能培训。深入实施职业技能提升行动和重点群体专项培训计划，广泛开展新业态新模式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第四十八章　优化收入分配结构</w:t>
      </w:r>
      <w:r>
        <w:rPr>
          <w:rFonts w:ascii="宋体" w:hAnsi="宋体" w:eastAsia="宋体" w:cs="宋体"/>
          <w:b w:val="0"/>
          <w:color w:val="000000"/>
          <w:sz w:val="25"/>
          <w:u w:val="none"/>
        </w:rPr>
        <w:t>　　坚持居民收入增长和经济增长基本同步、劳动报酬提高和劳动生产率提高基本同步，持续提高低收入群体收入，扩大中等收入群体，更加积极有为地促进共同富裕。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拓展居民收入增长渠道</w:t>
      </w:r>
      <w:r>
        <w:rPr>
          <w:rFonts w:ascii="宋体" w:hAnsi="宋体" w:eastAsia="宋体" w:cs="宋体"/>
          <w:b w:val="0"/>
          <w:color w:val="000000"/>
          <w:sz w:val="25"/>
          <w:u w:val="none"/>
        </w:rPr>
        <w:t>　　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扩大中等收入群体</w:t>
      </w:r>
      <w:r>
        <w:rPr>
          <w:rFonts w:ascii="宋体" w:hAnsi="宋体" w:eastAsia="宋体" w:cs="宋体"/>
          <w:b w:val="0"/>
          <w:color w:val="000000"/>
          <w:sz w:val="25"/>
          <w:u w:val="none"/>
        </w:rPr>
        <w:t>　　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完善再分配机制</w:t>
      </w:r>
      <w:r>
        <w:rPr>
          <w:rFonts w:ascii="宋体" w:hAnsi="宋体" w:eastAsia="宋体" w:cs="宋体"/>
          <w:b w:val="0"/>
          <w:color w:val="000000"/>
          <w:sz w:val="25"/>
          <w:u w:val="none"/>
        </w:rPr>
        <w:t>　　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第四十九章　健全多层次社会保障体系</w:t>
      </w:r>
      <w:r>
        <w:rPr>
          <w:rFonts w:ascii="宋体" w:hAnsi="宋体" w:eastAsia="宋体" w:cs="宋体"/>
          <w:b w:val="0"/>
          <w:color w:val="000000"/>
          <w:sz w:val="25"/>
          <w:u w:val="none"/>
        </w:rPr>
        <w:t>　　坚持应保尽保原则，按照兜底线、织密网、建机制的要求，加快健全覆盖全民、统筹城乡、公平统一、可持续的多层次社会保障体系。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改革完善社会保险制度</w:t>
      </w:r>
      <w:r>
        <w:rPr>
          <w:rFonts w:ascii="宋体" w:hAnsi="宋体" w:eastAsia="宋体" w:cs="宋体"/>
          <w:b w:val="0"/>
          <w:color w:val="000000"/>
          <w:sz w:val="25"/>
          <w:u w:val="none"/>
        </w:rPr>
        <w:t>　　健全养老保险制度体系，促进基本养老保险基金长期平衡。实现基本养老保险全国统筹，放宽灵活就业人员参保条件，实现社会保险法定人群全覆盖。完善划转国有资本充实社保基金制度，优化做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优化社会救助和慈善制度</w:t>
      </w:r>
      <w:r>
        <w:rPr>
          <w:rFonts w:ascii="宋体" w:hAnsi="宋体" w:eastAsia="宋体" w:cs="宋体"/>
          <w:b w:val="0"/>
          <w:color w:val="000000"/>
          <w:sz w:val="25"/>
          <w:u w:val="none"/>
        </w:rPr>
        <w:t>　　以城乡低保对象、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健全退役军人工作体系和保障制度</w:t>
      </w:r>
      <w:r>
        <w:rPr>
          <w:rFonts w:ascii="宋体" w:hAnsi="宋体" w:eastAsia="宋体" w:cs="宋体"/>
          <w:b w:val="0"/>
          <w:color w:val="000000"/>
          <w:sz w:val="25"/>
          <w:u w:val="none"/>
        </w:rPr>
        <w:t>　　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第五十章　保障妇女未成年人和残疾人基本权益</w:t>
      </w:r>
      <w:r>
        <w:rPr>
          <w:rFonts w:ascii="宋体" w:hAnsi="宋体" w:eastAsia="宋体" w:cs="宋体"/>
          <w:b w:val="0"/>
          <w:color w:val="000000"/>
          <w:sz w:val="25"/>
          <w:u w:val="none"/>
        </w:rPr>
        <w:t>　　坚持男女平等基本国策，坚持儿童优先发展，提升残疾人关爱服务水平，切实保障妇女、未成年人、残疾人等群体发展权利和机会。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促进男女平等和妇女全面发展</w:t>
      </w:r>
      <w:r>
        <w:rPr>
          <w:rFonts w:ascii="宋体" w:hAnsi="宋体" w:eastAsia="宋体" w:cs="宋体"/>
          <w:b w:val="0"/>
          <w:color w:val="000000"/>
          <w:sz w:val="25"/>
          <w:u w:val="none"/>
        </w:rPr>
        <w:t>　　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完善分性别统计制度。提高留守妇女关爱服务水平。严厉打击侵害妇女和女童人身权利的违法犯罪行为。</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提升未成年人关爱服务水平</w:t>
      </w:r>
      <w:r>
        <w:rPr>
          <w:rFonts w:ascii="宋体" w:hAnsi="宋体" w:eastAsia="宋体" w:cs="宋体"/>
          <w:b w:val="0"/>
          <w:color w:val="000000"/>
          <w:sz w:val="25"/>
          <w:u w:val="none"/>
        </w:rPr>
        <w:t>　　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加强家庭建设</w:t>
      </w:r>
      <w:r>
        <w:rPr>
          <w:rFonts w:ascii="宋体" w:hAnsi="宋体" w:eastAsia="宋体" w:cs="宋体"/>
          <w:b w:val="0"/>
          <w:color w:val="000000"/>
          <w:sz w:val="25"/>
          <w:u w:val="none"/>
        </w:rPr>
        <w:t>　　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提升残疾人保障和发展能力</w:t>
      </w:r>
      <w:r>
        <w:rPr>
          <w:rFonts w:ascii="宋体" w:hAnsi="宋体" w:eastAsia="宋体" w:cs="宋体"/>
          <w:b w:val="0"/>
          <w:color w:val="000000"/>
          <w:sz w:val="25"/>
          <w:u w:val="none"/>
        </w:rPr>
        <w:t>　　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84864" behindDoc="0" locked="0" layoutInCell="1" allowOverlap="0">
            <wp:simplePos x="0" y="0"/>
            <wp:positionH relativeFrom="column">
              <wp:align>left</wp:align>
            </wp:positionH>
            <wp:positionV relativeFrom="paragraph">
              <wp:align>top</wp:align>
            </wp:positionV>
            <wp:extent cx="6188710" cy="5219065"/>
            <wp:effectExtent l="0" t="0" r="13970" b="8255"/>
            <wp:wrapTopAndBottom/>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5"/>
                    <a:stretch>
                      <a:fillRect/>
                    </a:stretch>
                  </pic:blipFill>
                  <pic:spPr>
                    <a:xfrm>
                      <a:off x="0" y="0"/>
                      <a:ext cx="6188710" cy="5219065"/>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第五十一章　构建基层社会治理新格局</w:t>
      </w:r>
      <w:r>
        <w:rPr>
          <w:rFonts w:ascii="宋体" w:hAnsi="宋体" w:eastAsia="宋体" w:cs="宋体"/>
          <w:b w:val="0"/>
          <w:color w:val="000000"/>
          <w:sz w:val="25"/>
          <w:u w:val="none"/>
        </w:rPr>
        <w:t>　　健全党组织领导的自治、法治、德治相结合的城乡基层社会治理体系，完善基层民主协商制度，建设人人有责、人人尽责、人人享有的社会治理共同体。</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夯实基层社会治理基础</w:t>
      </w:r>
      <w:r>
        <w:rPr>
          <w:rFonts w:ascii="宋体" w:hAnsi="宋体" w:eastAsia="宋体" w:cs="宋体"/>
          <w:b w:val="0"/>
          <w:color w:val="000000"/>
          <w:sz w:val="25"/>
          <w:u w:val="none"/>
        </w:rPr>
        <w:t>　　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健全社区管理和服务机制</w:t>
      </w:r>
      <w:r>
        <w:rPr>
          <w:rFonts w:ascii="宋体" w:hAnsi="宋体" w:eastAsia="宋体" w:cs="宋体"/>
          <w:b w:val="0"/>
          <w:color w:val="000000"/>
          <w:sz w:val="25"/>
          <w:u w:val="none"/>
        </w:rPr>
        <w:t>　　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物流商超、治安执法、纠纷调处、心理援助等便民服务场景有机集成和精准对接。完善城市社区居委会职能，督促业委会和物业服务企业履行职责，改进社区物业服务管理。构建专职化、专业化的城乡社区工作者队伍。</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积极引导社会力量参与基层治理</w:t>
      </w:r>
      <w:r>
        <w:rPr>
          <w:rFonts w:ascii="宋体" w:hAnsi="宋体" w:eastAsia="宋体" w:cs="宋体"/>
          <w:b w:val="0"/>
          <w:color w:val="000000"/>
          <w:sz w:val="25"/>
          <w:u w:val="none"/>
        </w:rPr>
        <w:t>　　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第十五篇　统筹发展和安全　建设更高水平的平安中国</w:t>
      </w:r>
      <w:r>
        <w:rPr>
          <w:rFonts w:ascii="宋体" w:hAnsi="宋体" w:eastAsia="宋体" w:cs="宋体"/>
          <w:b w:val="0"/>
          <w:color w:val="000000"/>
          <w:sz w:val="25"/>
          <w:u w:val="none"/>
        </w:rPr>
        <w:t>　　坚持总体国家安全观，实施国家安全战略，维护和塑造国家安全，统筹传统安全和非传统安全，把安全发展贯穿国家发展各领域和全过程，防范和化解影响我国现代化进程的各种风险，筑牢国家安全屏障。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第五十二章　加强国家安全体系和能力建设</w:t>
      </w:r>
      <w:r>
        <w:rPr>
          <w:rFonts w:ascii="宋体" w:hAnsi="宋体" w:eastAsia="宋体" w:cs="宋体"/>
          <w:b w:val="0"/>
          <w:color w:val="000000"/>
          <w:sz w:val="25"/>
          <w:u w:val="none"/>
        </w:rPr>
        <w:t>　　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研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第五十三章　强化国家经济安全保障</w:t>
      </w:r>
      <w:r>
        <w:rPr>
          <w:rFonts w:ascii="宋体" w:hAnsi="宋体" w:eastAsia="宋体" w:cs="宋体"/>
          <w:b w:val="0"/>
          <w:color w:val="000000"/>
          <w:sz w:val="25"/>
          <w:u w:val="none"/>
        </w:rPr>
        <w:t>　　强化经济安全风险预警、防控机制和能力建设，实现重要产业、基础设施、战略资源、重大科技等关键领域安全可控，着力提升粮食、能源、金融等领域安全发展能力。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实施粮食安全战略</w:t>
      </w:r>
      <w:r>
        <w:rPr>
          <w:rFonts w:ascii="宋体" w:hAnsi="宋体" w:eastAsia="宋体" w:cs="宋体"/>
          <w:b w:val="0"/>
          <w:color w:val="000000"/>
          <w:sz w:val="25"/>
          <w:u w:val="none"/>
        </w:rPr>
        <w:t>　　实施分品种保障策略，完善重要农产品供给保障体系和粮食产购储加销体系，确保口粮绝对安全、谷物基本自给、重要农副产品供应充足。毫不放松抓好粮食生产，深入实施藏粮于地、藏粮于技战略，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实施能源资源安全战略</w:t>
      </w:r>
      <w:r>
        <w:rPr>
          <w:rFonts w:ascii="宋体" w:hAnsi="宋体" w:eastAsia="宋体" w:cs="宋体"/>
          <w:b w:val="0"/>
          <w:color w:val="000000"/>
          <w:sz w:val="25"/>
          <w:u w:val="none"/>
        </w:rPr>
        <w:t>　　坚持立足国内、补齐短板、多元保障、强化储备，完善产供储销体系，增强能源持续稳定供应和风险管控能力，实现煤炭供应安全兜底、油气核心需求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实施金融安全战略</w:t>
      </w:r>
      <w:r>
        <w:rPr>
          <w:rFonts w:ascii="宋体" w:hAnsi="宋体" w:eastAsia="宋体" w:cs="宋体"/>
          <w:b w:val="0"/>
          <w:color w:val="000000"/>
          <w:sz w:val="25"/>
          <w:u w:val="none"/>
        </w:rPr>
        <w:t>　　健全金融风险预防、预警、处置、问责制度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处置高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下风险防控和应对能力。加强人民币跨境支付系统建设，推进金融业信息化核心技术安全可控，维护金融基础设施安全。</w:t>
      </w:r>
    </w:p>
    <w:p>
      <w:pPr>
        <w:keepLines w:val="0"/>
        <w:widowControl w:val="0"/>
        <w:bidi w:val="0"/>
        <w:spacing w:before="0" w:after="0" w:afterAutospacing="1" w:line="0" w:lineRule="auto"/>
        <w:ind w:firstLine="0"/>
        <w:jc w:val="left"/>
        <w:rPr>
          <w:rFonts w:ascii="宋体" w:hAnsi="宋体" w:eastAsia="宋体" w:cs="宋体"/>
          <w:b w:val="0"/>
          <w:color w:val="000000"/>
          <w:sz w:val="25"/>
          <w:u w:val="none"/>
        </w:rPr>
      </w:pPr>
      <w:r>
        <w:drawing>
          <wp:anchor distT="254000" distB="254000" distL="114300" distR="114300" simplePos="0" relativeHeight="251685888" behindDoc="0" locked="0" layoutInCell="1" allowOverlap="0">
            <wp:simplePos x="0" y="0"/>
            <wp:positionH relativeFrom="column">
              <wp:align>left</wp:align>
            </wp:positionH>
            <wp:positionV relativeFrom="paragraph">
              <wp:align>top</wp:align>
            </wp:positionV>
            <wp:extent cx="6188710" cy="6710680"/>
            <wp:effectExtent l="0" t="0" r="13970" b="10160"/>
            <wp:wrapTopAndBottom/>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36"/>
                    <a:stretch>
                      <a:fillRect/>
                    </a:stretch>
                  </pic:blipFill>
                  <pic:spPr>
                    <a:xfrm>
                      <a:off x="0" y="0"/>
                      <a:ext cx="6188710" cy="6710680"/>
                    </a:xfrm>
                    <a:prstGeom prst="rect">
                      <a:avLst/>
                    </a:prstGeom>
                    <a:noFill/>
                    <a:ln>
                      <a:noFill/>
                    </a:ln>
                  </pic:spPr>
                </pic:pic>
              </a:graphicData>
            </a:graphic>
          </wp:anchor>
        </w:drawing>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第五十四章　全面提高公共安全保障能力</w:t>
      </w:r>
      <w:r>
        <w:rPr>
          <w:rFonts w:ascii="宋体" w:hAnsi="宋体" w:eastAsia="宋体" w:cs="宋体"/>
          <w:b w:val="0"/>
          <w:color w:val="000000"/>
          <w:sz w:val="25"/>
          <w:u w:val="none"/>
        </w:rPr>
        <w:t>　　坚持人民至上、生命至上，健全公共安全体制机制，严格落实公共安全责任和管理制度，保障人民生命安全。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提高安全生产水平</w:t>
      </w:r>
      <w:r>
        <w:rPr>
          <w:rFonts w:ascii="宋体" w:hAnsi="宋体" w:eastAsia="宋体" w:cs="宋体"/>
          <w:b w:val="0"/>
          <w:color w:val="000000"/>
          <w:sz w:val="25"/>
          <w:u w:val="none"/>
        </w:rPr>
        <w:t>　　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严格食品药品安全监管</w:t>
      </w:r>
      <w:r>
        <w:rPr>
          <w:rFonts w:ascii="宋体" w:hAnsi="宋体" w:eastAsia="宋体" w:cs="宋体"/>
          <w:b w:val="0"/>
          <w:color w:val="000000"/>
          <w:sz w:val="25"/>
          <w:u w:val="none"/>
        </w:rPr>
        <w:t>　　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加强生物安全风险防控</w:t>
      </w:r>
      <w:r>
        <w:rPr>
          <w:rFonts w:ascii="宋体" w:hAnsi="宋体" w:eastAsia="宋体" w:cs="宋体"/>
          <w:b w:val="0"/>
          <w:color w:val="000000"/>
          <w:sz w:val="25"/>
          <w:u w:val="none"/>
        </w:rPr>
        <w:t>　　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第四节　完善国家应急管理体系</w:t>
      </w:r>
      <w:r>
        <w:rPr>
          <w:rFonts w:ascii="宋体" w:hAnsi="宋体" w:eastAsia="宋体" w:cs="宋体"/>
          <w:b w:val="0"/>
          <w:color w:val="000000"/>
          <w:sz w:val="25"/>
          <w:u w:val="none"/>
        </w:rPr>
        <w:t>　　构建统一指挥、专常兼备、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增强全灾种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第五十五章　维护社会稳定和安全</w:t>
      </w:r>
      <w:r>
        <w:rPr>
          <w:rFonts w:ascii="宋体" w:hAnsi="宋体" w:eastAsia="宋体" w:cs="宋体"/>
          <w:b w:val="0"/>
          <w:color w:val="000000"/>
          <w:sz w:val="25"/>
          <w:u w:val="none"/>
        </w:rPr>
        <w:t>　　正确处理新形势下人民内部矛盾，加强社会治安防控，编织全方位、立体化、智能化社会安全网。</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健全社会矛盾综合治理机制</w:t>
      </w:r>
      <w:r>
        <w:rPr>
          <w:rFonts w:ascii="宋体" w:hAnsi="宋体" w:eastAsia="宋体" w:cs="宋体"/>
          <w:b w:val="0"/>
          <w:color w:val="000000"/>
          <w:sz w:val="25"/>
          <w:u w:val="none"/>
        </w:rPr>
        <w:t>　　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推进社会治安防控体系现代化</w:t>
      </w:r>
      <w:r>
        <w:rPr>
          <w:rFonts w:ascii="宋体" w:hAnsi="宋体" w:eastAsia="宋体" w:cs="宋体"/>
          <w:b w:val="0"/>
          <w:color w:val="000000"/>
          <w:sz w:val="25"/>
          <w:u w:val="none"/>
        </w:rPr>
        <w:t>　　坚持专群结合、群防群治，提高社会治安立体化、法治化、专业化、智能化水平，形成问题联治、工作联动、平安联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第十六篇　加快国防和军队现代化　实现富国和强军相统一</w:t>
      </w:r>
      <w:r>
        <w:rPr>
          <w:rFonts w:ascii="宋体" w:hAnsi="宋体" w:eastAsia="宋体" w:cs="宋体"/>
          <w:b w:val="0"/>
          <w:color w:val="000000"/>
          <w:sz w:val="25"/>
          <w:u w:val="none"/>
        </w:rPr>
        <w:t>　　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第五十六章　提高国防和军队现代化质量效益</w:t>
      </w:r>
      <w:r>
        <w:rPr>
          <w:rFonts w:ascii="宋体" w:hAnsi="宋体" w:eastAsia="宋体" w:cs="宋体"/>
          <w:b w:val="0"/>
          <w:color w:val="000000"/>
          <w:sz w:val="25"/>
          <w:u w:val="none"/>
        </w:rPr>
        <w:t>　　加快军事理论现代化，与时俱进创新战争和战略指导，健全新时代军事战略体系，发展先进作战理论。加快军队组织形态现代化，深化国防和军队改革，推进军事管理革命，加快军兵种和武警部队转型建设，壮大战略力量和新域新质作战力量，打造高水平战略威慑和联合作战体系，加强军事力量联合训练、联合保障、联合运用。加快军事人员现代化，贯彻新时代军事教育方针，完善三位一体新型军事人才培养体系，锻造高素质专业化新型军事人才方阵。加快武器装备现代化，聚力国防科技自主创新、原始创新，加速战略性前沿性颠覆性技术发展，加速武器装备升级换代和智能化武器装备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第五十七章　促进国防实力和经济实力同步提升</w:t>
      </w:r>
      <w:r>
        <w:rPr>
          <w:rFonts w:ascii="宋体" w:hAnsi="宋体" w:eastAsia="宋体" w:cs="宋体"/>
          <w:b w:val="0"/>
          <w:color w:val="000000"/>
          <w:sz w:val="25"/>
          <w:u w:val="none"/>
        </w:rPr>
        <w:t>　　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安全发展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第十七篇　加强社会主义民主法治建设　健全党和国家监督制度</w:t>
      </w:r>
      <w:r>
        <w:rPr>
          <w:rFonts w:ascii="宋体" w:hAnsi="宋体" w:eastAsia="宋体" w:cs="宋体"/>
          <w:b w:val="0"/>
          <w:color w:val="000000"/>
          <w:sz w:val="25"/>
          <w:u w:val="none"/>
        </w:rPr>
        <w:t>　　坚持中国共产党领导、人民当家作主、依法治国有机统一，推进中国特色社会主义政治制度自我完善和发展。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第五十八章　发展社会主义民主</w:t>
      </w:r>
      <w:r>
        <w:rPr>
          <w:rFonts w:ascii="宋体" w:hAnsi="宋体" w:eastAsia="宋体" w:cs="宋体"/>
          <w:b w:val="0"/>
          <w:color w:val="000000"/>
          <w:sz w:val="25"/>
          <w:u w:val="none"/>
        </w:rPr>
        <w:t>　　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第五十九章　全面推进依法治国</w:t>
      </w:r>
      <w:r>
        <w:rPr>
          <w:rFonts w:ascii="宋体" w:hAnsi="宋体" w:eastAsia="宋体" w:cs="宋体"/>
          <w:b w:val="0"/>
          <w:color w:val="000000"/>
          <w:sz w:val="25"/>
          <w:u w:val="none"/>
        </w:rPr>
        <w:t>　　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立改废释纂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第六十章　完善党和国家监督体系</w:t>
      </w:r>
      <w:r>
        <w:rPr>
          <w:rFonts w:ascii="宋体" w:hAnsi="宋体" w:eastAsia="宋体" w:cs="宋体"/>
          <w:b w:val="0"/>
          <w:color w:val="000000"/>
          <w:sz w:val="25"/>
          <w:u w:val="none"/>
        </w:rPr>
        <w:t>　　健全党统一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健全分事行权、分岗设权、分级授权、定期轮岗制度，完善党务、政务、司法和各领域办事公开制度，健全发现问题、纠正偏差、精准问责有效机制，构建全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风反弹回潮，坚决整治群众身边的腐败和不正之风。</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第十八篇　坚持“一国两制”　推进祖国统一</w:t>
      </w:r>
      <w:r>
        <w:rPr>
          <w:rFonts w:ascii="宋体" w:hAnsi="宋体" w:eastAsia="宋体" w:cs="宋体"/>
          <w:b w:val="0"/>
          <w:color w:val="000000"/>
          <w:sz w:val="25"/>
          <w:u w:val="none"/>
        </w:rPr>
        <w:t>　　保持香港、澳门长期繁荣稳定，推进两岸关系和平发展和祖国统一，共创中华民族伟大复兴的美好未来。</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第六十一章　保持香港、澳门长期繁荣稳定</w:t>
      </w:r>
      <w:r>
        <w:rPr>
          <w:rFonts w:ascii="宋体" w:hAnsi="宋体" w:eastAsia="宋体" w:cs="宋体"/>
          <w:b w:val="0"/>
          <w:color w:val="000000"/>
          <w:sz w:val="25"/>
          <w:u w:val="none"/>
        </w:rPr>
        <w:t>　　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支持港澳巩固提升竞争优势</w:t>
      </w:r>
      <w:r>
        <w:rPr>
          <w:rFonts w:ascii="宋体" w:hAnsi="宋体" w:eastAsia="宋体" w:cs="宋体"/>
          <w:b w:val="0"/>
          <w:color w:val="000000"/>
          <w:sz w:val="25"/>
          <w:u w:val="none"/>
        </w:rPr>
        <w:t>　　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支持港澳更好融入国家发展大局</w:t>
      </w:r>
      <w:r>
        <w:rPr>
          <w:rFonts w:ascii="宋体" w:hAnsi="宋体" w:eastAsia="宋体" w:cs="宋体"/>
          <w:b w:val="0"/>
          <w:color w:val="000000"/>
          <w:sz w:val="25"/>
          <w:u w:val="none"/>
        </w:rPr>
        <w:t>　　完善港澳融入国家发展大局、同内地优势互补、协同发展机制。支持港澳参与、助力国家全面开放和现代化经济体系建设，打造共建“一带一路”功能平台。深化内地与港澳经贸、科创合作关系，深化并扩大内地与港澳金融市场互联互通。高质量建设粤港澳大湾区，深化粤港澳合作、泛珠三角区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第六十二章　推进两岸关系和平发展和祖国统一</w:t>
      </w:r>
      <w:r>
        <w:rPr>
          <w:rFonts w:ascii="宋体" w:hAnsi="宋体" w:eastAsia="宋体" w:cs="宋体"/>
          <w:b w:val="0"/>
          <w:color w:val="000000"/>
          <w:sz w:val="25"/>
          <w:u w:val="none"/>
        </w:rPr>
        <w:t>　　坚持一个中国原则和“九二共识”，以两岸同胞福祉为依归，推动两岸关系和平发展、融合发展，高度警惕和坚决遏制“台独”分裂活动。</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深化两岸融合发展</w:t>
      </w:r>
      <w:r>
        <w:rPr>
          <w:rFonts w:ascii="宋体" w:hAnsi="宋体" w:eastAsia="宋体" w:cs="宋体"/>
          <w:b w:val="0"/>
          <w:color w:val="000000"/>
          <w:sz w:val="25"/>
          <w:u w:val="none"/>
        </w:rPr>
        <w:t>　　完善保障台湾同胞福祉和在大陆享受同等待遇的制度和政策，持续出台实施惠台利民政策措施，让台湾同胞分享发展机遇，参与大陆经济社会发展进程。支持台商台企参与“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加强两岸人文交流</w:t>
      </w:r>
      <w:r>
        <w:rPr>
          <w:rFonts w:ascii="宋体" w:hAnsi="宋体" w:eastAsia="宋体" w:cs="宋体"/>
          <w:b w:val="0"/>
          <w:color w:val="000000"/>
          <w:sz w:val="25"/>
          <w:u w:val="none"/>
        </w:rPr>
        <w:t>　　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32"/>
          <w:u w:val="none"/>
        </w:rPr>
        <w:t>第十九篇　加强规划实施保障</w:t>
      </w:r>
      <w:r>
        <w:rPr>
          <w:rFonts w:ascii="宋体" w:hAnsi="宋体" w:eastAsia="宋体" w:cs="宋体"/>
          <w:b w:val="0"/>
          <w:color w:val="000000"/>
          <w:sz w:val="25"/>
          <w:u w:val="none"/>
        </w:rPr>
        <w:t>　　坚持党的全面领导，健全规划实施保障机制，更好履行政府职责，最大程度激发各类主体的活力和创造力，形成全面建设社会主义现代化国家的强大合力。</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第六十三章　加强党中央集中统一领导</w:t>
      </w:r>
      <w:r>
        <w:rPr>
          <w:rFonts w:ascii="宋体" w:hAnsi="宋体" w:eastAsia="宋体" w:cs="宋体"/>
          <w:b w:val="0"/>
          <w:color w:val="000000"/>
          <w:sz w:val="25"/>
          <w:u w:val="none"/>
        </w:rPr>
        <w:t>　　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引领保障作用，把完善党和国家监督体系融入规划实施之中。完善上下贯通、执行有力的组织体系，提高各级领导班子和干部适应新时代新要求抓改革、促发展、保稳定的政治能力和专业化水平。</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val="0"/>
          <w:color w:val="000000"/>
          <w:sz w:val="25"/>
          <w:u w:val="none"/>
        </w:rPr>
        <w:t>　　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第六十四章　健全统一规划体系</w:t>
      </w:r>
      <w:r>
        <w:rPr>
          <w:rFonts w:ascii="宋体" w:hAnsi="宋体" w:eastAsia="宋体" w:cs="宋体"/>
          <w:b w:val="0"/>
          <w:color w:val="000000"/>
          <w:sz w:val="25"/>
          <w:u w:val="none"/>
        </w:rPr>
        <w:t>　　加快建立健全以国家发展规划为统领，以空间规划为基础，以专项规划、区域规划为支撑，由国家、省、市县级规划共同组成，定位准确、边界清晰、功能互补、统一衔接的国家规划体系。</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强化国家发展规划的统领作用</w:t>
      </w:r>
      <w:r>
        <w:rPr>
          <w:rFonts w:ascii="宋体" w:hAnsi="宋体" w:eastAsia="宋体" w:cs="宋体"/>
          <w:b w:val="0"/>
          <w:color w:val="000000"/>
          <w:sz w:val="25"/>
          <w:u w:val="none"/>
        </w:rPr>
        <w:t>　　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加强规划衔接协调</w:t>
      </w:r>
      <w:r>
        <w:rPr>
          <w:rFonts w:ascii="宋体" w:hAnsi="宋体" w:eastAsia="宋体" w:cs="宋体"/>
          <w:b w:val="0"/>
          <w:color w:val="000000"/>
          <w:sz w:val="25"/>
          <w:u w:val="none"/>
        </w:rPr>
        <w:t>　　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8"/>
          <w:u w:val="none"/>
        </w:rPr>
        <w:t>第六十五章　完善规划实施机制</w:t>
      </w:r>
      <w:r>
        <w:rPr>
          <w:rFonts w:ascii="宋体" w:hAnsi="宋体" w:eastAsia="宋体" w:cs="宋体"/>
          <w:b w:val="0"/>
          <w:color w:val="000000"/>
          <w:sz w:val="25"/>
          <w:u w:val="none"/>
        </w:rPr>
        <w:t>　　加强对本规划实施的组织、协调和督导，建立健全规划实施监测评估、政策保障、考核监督机制。</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第一节　落实规划实施责任</w:t>
      </w:r>
      <w:r>
        <w:rPr>
          <w:rFonts w:ascii="宋体" w:hAnsi="宋体" w:eastAsia="宋体" w:cs="宋体"/>
          <w:b w:val="0"/>
          <w:color w:val="000000"/>
          <w:sz w:val="25"/>
          <w:u w:val="none"/>
        </w:rPr>
        <w:t>　　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第二节　加强规划实施监测评估</w:t>
      </w:r>
      <w:r>
        <w:rPr>
          <w:rFonts w:ascii="宋体" w:hAnsi="宋体" w:eastAsia="宋体" w:cs="宋体"/>
          <w:b w:val="0"/>
          <w:color w:val="000000"/>
          <w:sz w:val="25"/>
          <w:u w:val="none"/>
        </w:rPr>
        <w:t>　　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pPr>
        <w:keepLines w:val="0"/>
        <w:widowControl w:val="0"/>
        <w:bidi w:val="0"/>
        <w:spacing w:before="0" w:after="0" w:afterAutospacing="1" w:line="440" w:lineRule="exact"/>
        <w:ind w:firstLine="0"/>
        <w:jc w:val="left"/>
        <w:rPr>
          <w:rFonts w:ascii="宋体" w:hAnsi="宋体" w:eastAsia="宋体" w:cs="宋体"/>
          <w:b w:val="0"/>
          <w:color w:val="000000"/>
          <w:sz w:val="25"/>
          <w:u w:val="none"/>
        </w:rPr>
      </w:pPr>
      <w:r>
        <w:rPr>
          <w:rFonts w:ascii="宋体" w:hAnsi="宋体" w:eastAsia="宋体" w:cs="宋体"/>
          <w:b/>
          <w:color w:val="000000"/>
          <w:sz w:val="25"/>
          <w:u w:val="none"/>
        </w:rPr>
        <w:t>第三节　强化政策协同保障</w:t>
      </w:r>
      <w:r>
        <w:rPr>
          <w:rFonts w:ascii="宋体" w:hAnsi="宋体" w:eastAsia="宋体" w:cs="宋体"/>
          <w:b w:val="0"/>
          <w:color w:val="000000"/>
          <w:sz w:val="25"/>
          <w:u w:val="none"/>
        </w:rPr>
        <w:t>　　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pPr>
        <w:keepLines w:val="0"/>
        <w:widowControl w:val="0"/>
        <w:bidi w:val="0"/>
        <w:spacing w:before="0" w:after="0" w:afterAutospacing="1" w:line="440" w:lineRule="exact"/>
        <w:ind w:firstLine="0"/>
        <w:jc w:val="left"/>
        <w:rPr>
          <w:rFonts w:hint="eastAsia"/>
          <w:lang w:val="en-US" w:eastAsia="zh-CN"/>
        </w:rPr>
      </w:pPr>
      <w:r>
        <w:rPr>
          <w:rFonts w:ascii="宋体" w:hAnsi="宋体" w:eastAsia="宋体" w:cs="宋体"/>
          <w:b/>
          <w:color w:val="000000"/>
          <w:sz w:val="25"/>
          <w:u w:val="none"/>
        </w:rPr>
        <w:t>第四节　加快发展规划立法</w:t>
      </w:r>
      <w:r>
        <w:rPr>
          <w:rFonts w:ascii="宋体" w:hAnsi="宋体" w:eastAsia="宋体" w:cs="宋体"/>
          <w:b w:val="0"/>
          <w:color w:val="000000"/>
          <w:sz w:val="25"/>
          <w:u w:val="none"/>
        </w:rPr>
        <w:t>　　坚持依法制定规划、依法实施规划的原则，将党中央、国务院关于统一规划体系建设和国家发展规划的规定、要求和行之有效的经验做法以法律形式固定下来，加快出台发展规划法，强化规划编制实施的法治保障。</w:t>
      </w:r>
    </w:p>
    <w:sectPr>
      <w:headerReference r:id="rId5" w:type="first"/>
      <w:footerReference r:id="rId8" w:type="first"/>
      <w:headerReference r:id="rId3" w:type="default"/>
      <w:footerReference r:id="rId6" w:type="default"/>
      <w:headerReference r:id="rId4" w:type="even"/>
      <w:footerReference r:id="rId7" w:type="even"/>
      <w:pgSz w:w="11910" w:h="16840"/>
      <w:pgMar w:top="1440" w:right="1800" w:bottom="1440" w:left="1800" w:header="227" w:footer="454"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00"/>
    <w:family w:val="modern"/>
    <w:pitch w:val="default"/>
    <w:sig w:usb0="00000000" w:usb1="00000000" w:usb2="00000016" w:usb3="00000000" w:csb0="00100001"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4"/>
      </w:rPr>
      <mc:AlternateContent>
        <mc:Choice Requires="wps">
          <w:drawing>
            <wp:anchor distT="0" distB="0" distL="114300" distR="114300" simplePos="0" relativeHeight="251665408" behindDoc="0" locked="0" layoutInCell="1" allowOverlap="1">
              <wp:simplePos x="0" y="0"/>
              <wp:positionH relativeFrom="margin">
                <wp:posOffset>5933440</wp:posOffset>
              </wp:positionH>
              <wp:positionV relativeFrom="paragraph">
                <wp:posOffset>-304165</wp:posOffset>
              </wp:positionV>
              <wp:extent cx="321310" cy="281305"/>
              <wp:effectExtent l="0" t="0" r="0" b="0"/>
              <wp:wrapNone/>
              <wp:docPr id="10" name="文本框 24"/>
              <wp:cNvGraphicFramePr/>
              <a:graphic xmlns:a="http://schemas.openxmlformats.org/drawingml/2006/main">
                <a:graphicData uri="http://schemas.microsoft.com/office/word/2010/wordprocessingShape">
                  <wps:wsp>
                    <wps:cNvSpPr txBox="1"/>
                    <wps:spPr>
                      <a:xfrm>
                        <a:off x="0" y="0"/>
                        <a:ext cx="321310" cy="281305"/>
                      </a:xfrm>
                      <a:prstGeom prst="rect">
                        <a:avLst/>
                      </a:prstGeom>
                      <a:noFill/>
                      <a:ln>
                        <a:noFill/>
                      </a:ln>
                    </wps:spPr>
                    <wps:txbx>
                      <w:txbxContent>
                        <w:p>
                          <w:pPr>
                            <w:snapToGrid w:val="0"/>
                            <w:jc w:val="center"/>
                            <w:rPr>
                              <w:color w:val="FFFFFF"/>
                              <w:sz w:val="21"/>
                              <w:szCs w:val="28"/>
                            </w:rPr>
                          </w:pPr>
                          <w:r>
                            <w:rPr>
                              <w:color w:val="FFFFFF"/>
                              <w:sz w:val="21"/>
                              <w:szCs w:val="28"/>
                            </w:rPr>
                            <w:fldChar w:fldCharType="begin"/>
                          </w:r>
                          <w:r>
                            <w:rPr>
                              <w:color w:val="FFFFFF"/>
                              <w:sz w:val="21"/>
                              <w:szCs w:val="28"/>
                            </w:rPr>
                            <w:instrText xml:space="preserve"> PAGE  \* MERGEFORMAT </w:instrText>
                          </w:r>
                          <w:r>
                            <w:rPr>
                              <w:color w:val="FFFFFF"/>
                              <w:sz w:val="21"/>
                              <w:szCs w:val="28"/>
                            </w:rPr>
                            <w:fldChar w:fldCharType="separate"/>
                          </w:r>
                          <w:r>
                            <w:rPr>
                              <w:color w:val="FFFFFF"/>
                              <w:sz w:val="21"/>
                              <w:szCs w:val="28"/>
                            </w:rPr>
                            <w:t>1</w:t>
                          </w:r>
                          <w:r>
                            <w:rPr>
                              <w:color w:val="FFFFFF"/>
                              <w:sz w:val="21"/>
                              <w:szCs w:val="28"/>
                            </w:rPr>
                            <w:fldChar w:fldCharType="end"/>
                          </w:r>
                        </w:p>
                      </w:txbxContent>
                    </wps:txbx>
                    <wps:bodyPr vert="horz" wrap="square" lIns="0" tIns="0" rIns="0" bIns="0" anchor="t" upright="0"/>
                  </wps:wsp>
                </a:graphicData>
              </a:graphic>
            </wp:anchor>
          </w:drawing>
        </mc:Choice>
        <mc:Fallback>
          <w:pict>
            <v:shape id="文本框 24" o:spid="_x0000_s1026" o:spt="202" type="#_x0000_t202" style="position:absolute;left:0pt;margin-left:467.2pt;margin-top:-23.95pt;height:22.15pt;width:25.3pt;mso-position-horizontal-relative:margin;z-index:251665408;mso-width-relative:page;mso-height-relative:page;" filled="f" stroked="f" coordsize="21600,21600" o:gfxdata="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x3+ADaAAAACgEAAA8AAAAAAAAAAQAg&#10;AAAAIgAAAGRycy9kb3ducmV2LnhtbFBLAQIUABQAAAAIAIdO4kD6wwIs0wEAAJgDAAAOAAAAAAAA&#10;AAEAIAAAACkBAABkcnMvZTJvRG9jLnhtbFBLBQYAAAAABgAGAFkBAABuBQAAAAA=&#10;">
              <v:fill on="f" focussize="0,0"/>
              <v:stroke on="f"/>
              <v:imagedata o:title=""/>
              <o:lock v:ext="edit" aspectratio="f"/>
              <v:textbox inset="0mm,0mm,0mm,0mm">
                <w:txbxContent>
                  <w:p>
                    <w:pPr>
                      <w:snapToGrid w:val="0"/>
                      <w:jc w:val="center"/>
                      <w:rPr>
                        <w:color w:val="FFFFFF"/>
                        <w:sz w:val="21"/>
                        <w:szCs w:val="28"/>
                      </w:rPr>
                    </w:pPr>
                    <w:r>
                      <w:rPr>
                        <w:color w:val="FFFFFF"/>
                        <w:sz w:val="21"/>
                        <w:szCs w:val="28"/>
                      </w:rPr>
                      <w:fldChar w:fldCharType="begin"/>
                    </w:r>
                    <w:r>
                      <w:rPr>
                        <w:color w:val="FFFFFF"/>
                        <w:sz w:val="21"/>
                        <w:szCs w:val="28"/>
                      </w:rPr>
                      <w:instrText xml:space="preserve"> PAGE  \* MERGEFORMAT </w:instrText>
                    </w:r>
                    <w:r>
                      <w:rPr>
                        <w:color w:val="FFFFFF"/>
                        <w:sz w:val="21"/>
                        <w:szCs w:val="28"/>
                      </w:rPr>
                      <w:fldChar w:fldCharType="separate"/>
                    </w:r>
                    <w:r>
                      <w:rPr>
                        <w:color w:val="FFFFFF"/>
                        <w:sz w:val="21"/>
                        <w:szCs w:val="28"/>
                      </w:rPr>
                      <w:t>1</w:t>
                    </w:r>
                    <w:r>
                      <w:rPr>
                        <w:color w:val="FFFFFF"/>
                        <w:sz w:val="21"/>
                        <w:szCs w:val="28"/>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1639570</wp:posOffset>
              </wp:positionH>
              <wp:positionV relativeFrom="page">
                <wp:posOffset>10046335</wp:posOffset>
              </wp:positionV>
              <wp:extent cx="4450080" cy="459105"/>
              <wp:effectExtent l="0" t="0" r="0" b="0"/>
              <wp:wrapSquare wrapText="bothSides"/>
              <wp:docPr id="9" name="文本框 1031"/>
              <wp:cNvGraphicFramePr/>
              <a:graphic xmlns:a="http://schemas.openxmlformats.org/drawingml/2006/main">
                <a:graphicData uri="http://schemas.microsoft.com/office/word/2010/wordprocessingShape">
                  <wps:wsp>
                    <wps:cNvSpPr txBox="1"/>
                    <wps:spPr>
                      <a:xfrm>
                        <a:off x="0" y="0"/>
                        <a:ext cx="4450080" cy="459105"/>
                      </a:xfrm>
                      <a:prstGeom prst="rect">
                        <a:avLst/>
                      </a:prstGeom>
                      <a:noFill/>
                      <a:ln>
                        <a:noFill/>
                      </a:ln>
                    </wps:spPr>
                    <wps:txbx>
                      <w:txbxContent>
                        <w:p>
                          <w:pPr>
                            <w:ind w:left="20" w:right="18"/>
                            <w:rPr>
                              <w:rFonts w:hint="eastAsia" w:ascii="华文细黑" w:hAnsi="华文细黑" w:eastAsia="华文细黑" w:cs="华文细黑"/>
                              <w:b/>
                              <w:snapToGrid w:val="0"/>
                              <w:sz w:val="16"/>
                            </w:rPr>
                          </w:pPr>
                          <w:r>
                            <w:rPr>
                              <w:rFonts w:hint="eastAsia" w:ascii="华文细黑" w:hAnsi="华文细黑" w:eastAsia="华文细黑" w:cs="华文细黑"/>
                              <w:b/>
                              <w:snapToGrid w:val="0"/>
                              <w:sz w:val="16"/>
                            </w:rPr>
                            <w:t>北京市京师（</w:t>
                          </w:r>
                          <w:r>
                            <w:rPr>
                              <w:rFonts w:hint="eastAsia" w:ascii="华文细黑" w:hAnsi="华文细黑" w:eastAsia="华文细黑" w:cs="华文细黑"/>
                              <w:b/>
                              <w:snapToGrid w:val="0"/>
                              <w:sz w:val="16"/>
                              <w:lang w:val="en-US"/>
                            </w:rPr>
                            <w:t>珠海</w:t>
                          </w:r>
                          <w:r>
                            <w:rPr>
                              <w:rFonts w:hint="eastAsia" w:ascii="华文细黑" w:hAnsi="华文细黑" w:eastAsia="华文细黑" w:cs="华文细黑"/>
                              <w:b/>
                              <w:snapToGrid w:val="0"/>
                              <w:sz w:val="16"/>
                            </w:rPr>
                            <w:t>）律师事务所地址：珠海市香洲区</w:t>
                          </w:r>
                          <w:r>
                            <w:rPr>
                              <w:rFonts w:hint="eastAsia" w:ascii="华文细黑" w:hAnsi="华文细黑" w:eastAsia="华文细黑" w:cs="华文细黑"/>
                              <w:b/>
                              <w:snapToGrid w:val="0"/>
                              <w:sz w:val="16"/>
                              <w:lang w:val="en-US"/>
                            </w:rPr>
                            <w:t>银湾路1663号</w:t>
                          </w:r>
                          <w:r>
                            <w:rPr>
                              <w:rFonts w:hint="eastAsia" w:ascii="华文细黑" w:hAnsi="华文细黑" w:eastAsia="华文细黑" w:cs="华文细黑"/>
                              <w:b/>
                              <w:snapToGrid w:val="0"/>
                              <w:sz w:val="16"/>
                            </w:rPr>
                            <w:t>珠海中心大厦15层</w:t>
                          </w:r>
                        </w:p>
                        <w:p>
                          <w:pPr>
                            <w:ind w:right="18"/>
                            <w:rPr>
                              <w:rFonts w:hint="eastAsia" w:ascii="华文细黑" w:hAnsi="华文细黑" w:eastAsia="华文细黑" w:cs="华文细黑"/>
                              <w:b/>
                              <w:snapToGrid w:val="0"/>
                              <w:sz w:val="16"/>
                              <w:lang w:val="en-US" w:eastAsia="zh-CN"/>
                            </w:rPr>
                          </w:pPr>
                          <w:r>
                            <w:rPr>
                              <w:rFonts w:hint="eastAsia" w:ascii="华文细黑" w:hAnsi="华文细黑" w:eastAsia="华文细黑" w:cs="华文细黑"/>
                              <w:b/>
                              <w:snapToGrid w:val="0"/>
                              <w:sz w:val="16"/>
                              <w:lang w:val="en-US"/>
                            </w:rPr>
                            <w:t>邮箱：</w:t>
                          </w:r>
                          <w:r>
                            <w:rPr>
                              <w:rFonts w:ascii="华文细黑" w:hAnsi="华文细黑" w:eastAsia="华文细黑" w:cs="华文细黑"/>
                              <w:b/>
                              <w:snapToGrid w:val="0"/>
                              <w:spacing w:val="6"/>
                              <w:sz w:val="16"/>
                              <w:lang w:val="en-US"/>
                            </w:rPr>
                            <w:fldChar w:fldCharType="begin"/>
                          </w:r>
                          <w:r>
                            <w:rPr>
                              <w:rFonts w:ascii="华文细黑" w:hAnsi="华文细黑" w:eastAsia="华文细黑" w:cs="华文细黑"/>
                              <w:b/>
                              <w:snapToGrid w:val="0"/>
                              <w:spacing w:val="6"/>
                              <w:sz w:val="16"/>
                              <w:lang w:val="en-US"/>
                            </w:rPr>
                            <w:instrText xml:space="preserve"> HYPERLINK "mailto:jingshizhuhai@163.com" </w:instrText>
                          </w:r>
                          <w:r>
                            <w:rPr>
                              <w:rFonts w:ascii="华文细黑" w:hAnsi="华文细黑" w:eastAsia="华文细黑" w:cs="华文细黑"/>
                              <w:b/>
                              <w:snapToGrid w:val="0"/>
                              <w:spacing w:val="6"/>
                              <w:sz w:val="16"/>
                              <w:lang w:val="en-US"/>
                            </w:rPr>
                            <w:fldChar w:fldCharType="separate"/>
                          </w:r>
                          <w:r>
                            <w:rPr>
                              <w:rFonts w:ascii="华文细黑" w:hAnsi="华文细黑" w:eastAsia="华文细黑" w:cs="华文细黑"/>
                              <w:b/>
                              <w:snapToGrid w:val="0"/>
                              <w:spacing w:val="6"/>
                              <w:sz w:val="16"/>
                              <w:lang w:val="en-US"/>
                            </w:rPr>
                            <w:t>jingshizhuhai@163.com</w:t>
                          </w:r>
                          <w:r>
                            <w:rPr>
                              <w:rFonts w:ascii="华文细黑" w:hAnsi="华文细黑" w:eastAsia="华文细黑" w:cs="华文细黑"/>
                              <w:b/>
                              <w:snapToGrid w:val="0"/>
                              <w:spacing w:val="6"/>
                              <w:sz w:val="16"/>
                              <w:lang w:val="en-US"/>
                            </w:rPr>
                            <w:fldChar w:fldCharType="end"/>
                          </w:r>
                          <w:r>
                            <w:rPr>
                              <w:rFonts w:hint="eastAsia" w:ascii="华文细黑" w:hAnsi="华文细黑" w:eastAsia="华文细黑" w:cs="华文细黑"/>
                              <w:b/>
                              <w:snapToGrid w:val="0"/>
                              <w:sz w:val="16"/>
                              <w:lang w:val="en-US"/>
                            </w:rPr>
                            <w:t>电话：0756—8812662</w:t>
                          </w:r>
                          <w:r>
                            <w:rPr>
                              <w:rFonts w:hint="eastAsia" w:ascii="华文细黑" w:hAnsi="华文细黑" w:eastAsia="华文细黑" w:cs="华文细黑"/>
                              <w:b/>
                              <w:snapToGrid w:val="0"/>
                              <w:sz w:val="16"/>
                            </w:rPr>
                            <w:t>网址：</w:t>
                          </w:r>
                          <w:r>
                            <w:rPr>
                              <w:rFonts w:hint="eastAsia" w:ascii="华文细黑" w:hAnsi="华文细黑" w:eastAsia="华文细黑" w:cs="华文细黑"/>
                              <w:b/>
                              <w:snapToGrid w:val="0"/>
                            </w:rPr>
                            <w:fldChar w:fldCharType="begin"/>
                          </w:r>
                          <w:r>
                            <w:rPr>
                              <w:rFonts w:hint="eastAsia" w:ascii="华文细黑" w:hAnsi="华文细黑" w:eastAsia="华文细黑" w:cs="华文细黑"/>
                              <w:b/>
                              <w:snapToGrid w:val="0"/>
                            </w:rPr>
                            <w:instrText xml:space="preserve"> HYPERLINK "http://www.jingsh.com/" \h </w:instrText>
                          </w:r>
                          <w:r>
                            <w:rPr>
                              <w:rFonts w:hint="eastAsia" w:ascii="华文细黑" w:hAnsi="华文细黑" w:eastAsia="华文细黑" w:cs="华文细黑"/>
                              <w:b/>
                              <w:snapToGrid w:val="0"/>
                            </w:rPr>
                            <w:fldChar w:fldCharType="separate"/>
                          </w:r>
                          <w:r>
                            <w:rPr>
                              <w:rFonts w:hint="eastAsia" w:ascii="华文细黑" w:hAnsi="华文细黑" w:eastAsia="华文细黑" w:cs="华文细黑"/>
                              <w:b/>
                              <w:snapToGrid w:val="0"/>
                              <w:sz w:val="16"/>
                            </w:rPr>
                            <w:t>www.jingsh</w:t>
                          </w:r>
                          <w:r>
                            <w:rPr>
                              <w:rFonts w:hint="eastAsia" w:ascii="华文细黑" w:hAnsi="华文细黑" w:eastAsia="华文细黑" w:cs="华文细黑"/>
                              <w:b/>
                              <w:snapToGrid w:val="0"/>
                              <w:sz w:val="16"/>
                              <w:lang w:val="en-US" w:eastAsia="zh-CN"/>
                            </w:rPr>
                            <w:t>zh</w:t>
                          </w:r>
                          <w:r>
                            <w:rPr>
                              <w:rFonts w:hint="eastAsia" w:ascii="华文细黑" w:hAnsi="华文细黑" w:eastAsia="华文细黑" w:cs="华文细黑"/>
                              <w:b/>
                              <w:snapToGrid w:val="0"/>
                              <w:sz w:val="16"/>
                            </w:rPr>
                            <w:t>.com</w:t>
                          </w:r>
                          <w:r>
                            <w:rPr>
                              <w:rFonts w:hint="eastAsia" w:ascii="华文细黑" w:hAnsi="华文细黑" w:eastAsia="华文细黑" w:cs="华文细黑"/>
                              <w:b/>
                              <w:snapToGrid w:val="0"/>
                              <w:sz w:val="16"/>
                            </w:rPr>
                            <w:fldChar w:fldCharType="end"/>
                          </w:r>
                        </w:p>
                      </w:txbxContent>
                    </wps:txbx>
                    <wps:bodyPr wrap="square" lIns="0" tIns="0" rIns="0" bIns="0" upright="1"/>
                  </wps:wsp>
                </a:graphicData>
              </a:graphic>
            </wp:anchor>
          </w:drawing>
        </mc:Choice>
        <mc:Fallback>
          <w:pict>
            <v:shape id="文本框 1031" o:spid="_x0000_s1026" o:spt="202" type="#_x0000_t202" style="position:absolute;left:0pt;margin-left:129.1pt;margin-top:791.05pt;height:36.15pt;width:350.4pt;mso-position-horizontal-relative:page;mso-position-vertical-relative:page;mso-wrap-distance-bottom:0pt;mso-wrap-distance-left:9pt;mso-wrap-distance-right:9pt;mso-wrap-distance-top:0pt;z-index:251664384;mso-width-relative:page;mso-height-relative:page;" filled="f" stroked="f" coordsize="21600,21600" o:gfxdata="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WunNoAAAANAQAADwAAAAAAAAABACAAAAAiAAAAZHJzL2Rv&#10;d25yZXYueG1sUEsBAhQAFAAAAAgAh07iQGNofH3GAQAAgwMAAA4AAAAAAAAAAQAgAAAAKQEAAGRy&#10;cy9lMm9Eb2MueG1sUEsFBgAAAAAGAAYAWQEAAGEFAAAAAA==&#10;">
              <v:fill on="f" focussize="0,0"/>
              <v:stroke on="f"/>
              <v:imagedata o:title=""/>
              <o:lock v:ext="edit" aspectratio="f"/>
              <v:textbox inset="0mm,0mm,0mm,0mm">
                <w:txbxContent>
                  <w:p>
                    <w:pPr>
                      <w:ind w:left="20" w:right="18"/>
                      <w:rPr>
                        <w:rFonts w:hint="eastAsia" w:ascii="华文细黑" w:hAnsi="华文细黑" w:eastAsia="华文细黑" w:cs="华文细黑"/>
                        <w:b/>
                        <w:snapToGrid w:val="0"/>
                        <w:sz w:val="16"/>
                      </w:rPr>
                    </w:pPr>
                    <w:r>
                      <w:rPr>
                        <w:rFonts w:hint="eastAsia" w:ascii="华文细黑" w:hAnsi="华文细黑" w:eastAsia="华文细黑" w:cs="华文细黑"/>
                        <w:b/>
                        <w:snapToGrid w:val="0"/>
                        <w:sz w:val="16"/>
                      </w:rPr>
                      <w:t>北京市京师（</w:t>
                    </w:r>
                    <w:r>
                      <w:rPr>
                        <w:rFonts w:hint="eastAsia" w:ascii="华文细黑" w:hAnsi="华文细黑" w:eastAsia="华文细黑" w:cs="华文细黑"/>
                        <w:b/>
                        <w:snapToGrid w:val="0"/>
                        <w:sz w:val="16"/>
                        <w:lang w:val="en-US"/>
                      </w:rPr>
                      <w:t>珠海</w:t>
                    </w:r>
                    <w:r>
                      <w:rPr>
                        <w:rFonts w:hint="eastAsia" w:ascii="华文细黑" w:hAnsi="华文细黑" w:eastAsia="华文细黑" w:cs="华文细黑"/>
                        <w:b/>
                        <w:snapToGrid w:val="0"/>
                        <w:sz w:val="16"/>
                      </w:rPr>
                      <w:t>）律师事务所地址：珠海市香洲区</w:t>
                    </w:r>
                    <w:r>
                      <w:rPr>
                        <w:rFonts w:hint="eastAsia" w:ascii="华文细黑" w:hAnsi="华文细黑" w:eastAsia="华文细黑" w:cs="华文细黑"/>
                        <w:b/>
                        <w:snapToGrid w:val="0"/>
                        <w:sz w:val="16"/>
                        <w:lang w:val="en-US"/>
                      </w:rPr>
                      <w:t>银湾路1663号</w:t>
                    </w:r>
                    <w:r>
                      <w:rPr>
                        <w:rFonts w:hint="eastAsia" w:ascii="华文细黑" w:hAnsi="华文细黑" w:eastAsia="华文细黑" w:cs="华文细黑"/>
                        <w:b/>
                        <w:snapToGrid w:val="0"/>
                        <w:sz w:val="16"/>
                      </w:rPr>
                      <w:t>珠海中心大厦15层</w:t>
                    </w:r>
                  </w:p>
                  <w:p>
                    <w:pPr>
                      <w:ind w:right="18"/>
                      <w:rPr>
                        <w:rFonts w:hint="eastAsia" w:ascii="华文细黑" w:hAnsi="华文细黑" w:eastAsia="华文细黑" w:cs="华文细黑"/>
                        <w:b/>
                        <w:snapToGrid w:val="0"/>
                        <w:sz w:val="16"/>
                        <w:lang w:val="en-US" w:eastAsia="zh-CN"/>
                      </w:rPr>
                    </w:pPr>
                    <w:r>
                      <w:rPr>
                        <w:rFonts w:hint="eastAsia" w:ascii="华文细黑" w:hAnsi="华文细黑" w:eastAsia="华文细黑" w:cs="华文细黑"/>
                        <w:b/>
                        <w:snapToGrid w:val="0"/>
                        <w:sz w:val="16"/>
                        <w:lang w:val="en-US"/>
                      </w:rPr>
                      <w:t>邮箱：</w:t>
                    </w:r>
                    <w:r>
                      <w:rPr>
                        <w:rFonts w:ascii="华文细黑" w:hAnsi="华文细黑" w:eastAsia="华文细黑" w:cs="华文细黑"/>
                        <w:b/>
                        <w:snapToGrid w:val="0"/>
                        <w:spacing w:val="6"/>
                        <w:sz w:val="16"/>
                        <w:lang w:val="en-US"/>
                      </w:rPr>
                      <w:fldChar w:fldCharType="begin"/>
                    </w:r>
                    <w:r>
                      <w:rPr>
                        <w:rFonts w:ascii="华文细黑" w:hAnsi="华文细黑" w:eastAsia="华文细黑" w:cs="华文细黑"/>
                        <w:b/>
                        <w:snapToGrid w:val="0"/>
                        <w:spacing w:val="6"/>
                        <w:sz w:val="16"/>
                        <w:lang w:val="en-US"/>
                      </w:rPr>
                      <w:instrText xml:space="preserve"> HYPERLINK "mailto:jingshizhuhai@163.com" </w:instrText>
                    </w:r>
                    <w:r>
                      <w:rPr>
                        <w:rFonts w:ascii="华文细黑" w:hAnsi="华文细黑" w:eastAsia="华文细黑" w:cs="华文细黑"/>
                        <w:b/>
                        <w:snapToGrid w:val="0"/>
                        <w:spacing w:val="6"/>
                        <w:sz w:val="16"/>
                        <w:lang w:val="en-US"/>
                      </w:rPr>
                      <w:fldChar w:fldCharType="separate"/>
                    </w:r>
                    <w:r>
                      <w:rPr>
                        <w:rFonts w:ascii="华文细黑" w:hAnsi="华文细黑" w:eastAsia="华文细黑" w:cs="华文细黑"/>
                        <w:b/>
                        <w:snapToGrid w:val="0"/>
                        <w:spacing w:val="6"/>
                        <w:sz w:val="16"/>
                        <w:lang w:val="en-US"/>
                      </w:rPr>
                      <w:t>jingshizhuhai@163.com</w:t>
                    </w:r>
                    <w:r>
                      <w:rPr>
                        <w:rFonts w:ascii="华文细黑" w:hAnsi="华文细黑" w:eastAsia="华文细黑" w:cs="华文细黑"/>
                        <w:b/>
                        <w:snapToGrid w:val="0"/>
                        <w:spacing w:val="6"/>
                        <w:sz w:val="16"/>
                        <w:lang w:val="en-US"/>
                      </w:rPr>
                      <w:fldChar w:fldCharType="end"/>
                    </w:r>
                    <w:r>
                      <w:rPr>
                        <w:rFonts w:hint="eastAsia" w:ascii="华文细黑" w:hAnsi="华文细黑" w:eastAsia="华文细黑" w:cs="华文细黑"/>
                        <w:b/>
                        <w:snapToGrid w:val="0"/>
                        <w:sz w:val="16"/>
                        <w:lang w:val="en-US"/>
                      </w:rPr>
                      <w:t>电话：0756—8812662</w:t>
                    </w:r>
                    <w:r>
                      <w:rPr>
                        <w:rFonts w:hint="eastAsia" w:ascii="华文细黑" w:hAnsi="华文细黑" w:eastAsia="华文细黑" w:cs="华文细黑"/>
                        <w:b/>
                        <w:snapToGrid w:val="0"/>
                        <w:sz w:val="16"/>
                      </w:rPr>
                      <w:t>网址：</w:t>
                    </w:r>
                    <w:r>
                      <w:rPr>
                        <w:rFonts w:hint="eastAsia" w:ascii="华文细黑" w:hAnsi="华文细黑" w:eastAsia="华文细黑" w:cs="华文细黑"/>
                        <w:b/>
                        <w:snapToGrid w:val="0"/>
                      </w:rPr>
                      <w:fldChar w:fldCharType="begin"/>
                    </w:r>
                    <w:r>
                      <w:rPr>
                        <w:rFonts w:hint="eastAsia" w:ascii="华文细黑" w:hAnsi="华文细黑" w:eastAsia="华文细黑" w:cs="华文细黑"/>
                        <w:b/>
                        <w:snapToGrid w:val="0"/>
                      </w:rPr>
                      <w:instrText xml:space="preserve"> HYPERLINK "http://www.jingsh.com/" \h </w:instrText>
                    </w:r>
                    <w:r>
                      <w:rPr>
                        <w:rFonts w:hint="eastAsia" w:ascii="华文细黑" w:hAnsi="华文细黑" w:eastAsia="华文细黑" w:cs="华文细黑"/>
                        <w:b/>
                        <w:snapToGrid w:val="0"/>
                      </w:rPr>
                      <w:fldChar w:fldCharType="separate"/>
                    </w:r>
                    <w:r>
                      <w:rPr>
                        <w:rFonts w:hint="eastAsia" w:ascii="华文细黑" w:hAnsi="华文细黑" w:eastAsia="华文细黑" w:cs="华文细黑"/>
                        <w:b/>
                        <w:snapToGrid w:val="0"/>
                        <w:sz w:val="16"/>
                      </w:rPr>
                      <w:t>www.jingsh</w:t>
                    </w:r>
                    <w:r>
                      <w:rPr>
                        <w:rFonts w:hint="eastAsia" w:ascii="华文细黑" w:hAnsi="华文细黑" w:eastAsia="华文细黑" w:cs="华文细黑"/>
                        <w:b/>
                        <w:snapToGrid w:val="0"/>
                        <w:sz w:val="16"/>
                        <w:lang w:val="en-US" w:eastAsia="zh-CN"/>
                      </w:rPr>
                      <w:t>zh</w:t>
                    </w:r>
                    <w:r>
                      <w:rPr>
                        <w:rFonts w:hint="eastAsia" w:ascii="华文细黑" w:hAnsi="华文细黑" w:eastAsia="华文细黑" w:cs="华文细黑"/>
                        <w:b/>
                        <w:snapToGrid w:val="0"/>
                        <w:sz w:val="16"/>
                      </w:rPr>
                      <w:t>.com</w:t>
                    </w:r>
                    <w:r>
                      <w:rPr>
                        <w:rFonts w:hint="eastAsia" w:ascii="华文细黑" w:hAnsi="华文细黑" w:eastAsia="华文细黑" w:cs="华文细黑"/>
                        <w:b/>
                        <w:snapToGrid w:val="0"/>
                        <w:sz w:val="16"/>
                      </w:rPr>
                      <w:fldChar w:fldCharType="end"/>
                    </w:r>
                  </w:p>
                </w:txbxContent>
              </v:textbox>
              <w10:wrap type="square"/>
            </v:shape>
          </w:pict>
        </mc:Fallback>
      </mc:AlternateContent>
    </w:r>
    <w:r>
      <mc:AlternateContent>
        <mc:Choice Requires="wpg">
          <w:drawing>
            <wp:anchor distT="0" distB="0" distL="114300" distR="114300" simplePos="0" relativeHeight="251659264" behindDoc="1" locked="0" layoutInCell="1" allowOverlap="1">
              <wp:simplePos x="0" y="0"/>
              <wp:positionH relativeFrom="page">
                <wp:posOffset>599440</wp:posOffset>
              </wp:positionH>
              <wp:positionV relativeFrom="page">
                <wp:posOffset>9992995</wp:posOffset>
              </wp:positionV>
              <wp:extent cx="6859270" cy="363220"/>
              <wp:effectExtent l="0" t="1905" r="17780" b="15875"/>
              <wp:wrapNone/>
              <wp:docPr id="4" name="组合 1026"/>
              <wp:cNvGraphicFramePr/>
              <a:graphic xmlns:a="http://schemas.openxmlformats.org/drawingml/2006/main">
                <a:graphicData uri="http://schemas.microsoft.com/office/word/2010/wordprocessingGroup">
                  <wpg:wgp>
                    <wpg:cNvGrpSpPr/>
                    <wpg:grpSpPr>
                      <a:xfrm>
                        <a:off x="0" y="0"/>
                        <a:ext cx="6859270" cy="363220"/>
                        <a:chOff x="1019" y="15737"/>
                        <a:chExt cx="10802" cy="572"/>
                      </a:xfrm>
                    </wpg:grpSpPr>
                    <wps:wsp>
                      <wps:cNvPr id="1" name="矩形 1027"/>
                      <wps:cNvSpPr/>
                      <wps:spPr>
                        <a:xfrm>
                          <a:off x="11055" y="15745"/>
                          <a:ext cx="766" cy="564"/>
                        </a:xfrm>
                        <a:prstGeom prst="rect">
                          <a:avLst/>
                        </a:prstGeom>
                        <a:solidFill>
                          <a:srgbClr val="933634"/>
                        </a:solidFill>
                        <a:ln>
                          <a:noFill/>
                        </a:ln>
                      </wps:spPr>
                      <wps:bodyPr wrap="square" upright="1"/>
                    </wps:wsp>
                    <wps:wsp>
                      <wps:cNvPr id="2" name="直线 1028"/>
                      <wps:cNvCnPr/>
                      <wps:spPr>
                        <a:xfrm>
                          <a:off x="1019" y="15742"/>
                          <a:ext cx="10038" cy="0"/>
                        </a:xfrm>
                        <a:prstGeom prst="line">
                          <a:avLst/>
                        </a:prstGeom>
                        <a:ln w="6096" cap="flat" cmpd="sng">
                          <a:solidFill>
                            <a:srgbClr val="000000"/>
                          </a:solidFill>
                          <a:prstDash val="solid"/>
                          <a:headEnd type="none" w="med" len="med"/>
                          <a:tailEnd type="none" w="med" len="med"/>
                        </a:ln>
                      </wps:spPr>
                      <wps:bodyPr upright="1"/>
                    </wps:wsp>
                    <wps:wsp>
                      <wps:cNvPr id="3" name="直线 1029"/>
                      <wps:cNvCnPr/>
                      <wps:spPr>
                        <a:xfrm>
                          <a:off x="11057" y="15742"/>
                          <a:ext cx="761" cy="0"/>
                        </a:xfrm>
                        <a:prstGeom prst="line">
                          <a:avLst/>
                        </a:prstGeom>
                        <a:ln w="6096" cap="flat" cmpd="sng">
                          <a:solidFill>
                            <a:srgbClr val="C0504D"/>
                          </a:solidFill>
                          <a:prstDash val="solid"/>
                          <a:headEnd type="none" w="med" len="med"/>
                          <a:tailEnd type="none" w="med" len="med"/>
                        </a:ln>
                      </wps:spPr>
                      <wps:bodyPr upright="1"/>
                    </wps:wsp>
                  </wpg:wgp>
                </a:graphicData>
              </a:graphic>
            </wp:anchor>
          </w:drawing>
        </mc:Choice>
        <mc:Fallback>
          <w:pict>
            <v:group id="组合 1026" o:spid="_x0000_s1026" o:spt="203" style="position:absolute;left:0pt;margin-left:47.2pt;margin-top:786.85pt;height:28.6pt;width:540.1pt;mso-position-horizontal-relative:page;mso-position-vertical-relative:page;z-index:-251657216;mso-width-relative:page;mso-height-relative:page;" coordorigin="1019,15737" coordsize="10802,572" o:gfxdata="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qqF3QAAAA0BAAAPAAAAAAAA&#10;AAEAIAAAACIAAABkcnMvZG93bnJldi54bWxQSwECFAAUAAAACACHTuJAcBVRLvECAACuCAAADgAA&#10;AAAAAAABACAAAAAsAQAAZHJzL2Uyb0RvYy54bWxQSwUGAAAAAAYABgBZAQAAjwYAAAAA&#10;">
              <o:lock v:ext="edit" aspectratio="f"/>
              <v:rect id="矩形 1027" o:spid="_x0000_s1026" o:spt="1" style="position:absolute;left:11055;top:15745;height:564;width:766;" fillcolor="#933634" filled="t" stroked="f" coordsize="21600,21600" o:gfxdata="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IEQ4ugAAANoA&#10;AAAPAAAAAAAAAAEAIAAAACIAAABkcnMvZG93bnJldi54bWxQSwECFAAUAAAACACHTuJAMy8FnjsA&#10;AAA5AAAAEAAAAAAAAAABACAAAAAJAQAAZHJzL3NoYXBleG1sLnhtbFBLBQYAAAAABgAGAFsBAACz&#10;AwAAAAA=&#10;">
                <v:fill on="t" focussize="0,0"/>
                <v:stroke on="f"/>
                <v:imagedata o:title=""/>
                <o:lock v:ext="edit" aspectratio="f"/>
              </v:rect>
              <v:line id="直线 1028" o:spid="_x0000_s1026" o:spt="20" style="position:absolute;left:1019;top:15742;height:0;width:10038;" filled="f" stroked="t" coordsize="21600,21600" o:gfxdata="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89H6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029" o:spid="_x0000_s1026" o:spt="20" style="position:absolute;left:11057;top:15742;height:0;width:761;" filled="f" stroked="t" coordsize="21600,21600" o:gfxdata="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s0y1ugAAANoA&#10;AAAPAAAAAAAAAAEAIAAAACIAAABkcnMvZG93bnJldi54bWxQSwECFAAUAAAACACHTuJAMy8FnjsA&#10;AAA5AAAAEAAAAAAAAAABACAAAAAJAQAAZHJzL3NoYXBleG1sLnhtbFBLBQYAAAAABgAGAFsBAACz&#10;AwAAAAA=&#10;">
                <v:fill on="f" focussize="0,0"/>
                <v:stroke weight="0.48pt" color="#C0504D" joinstyle="round"/>
                <v:imagedata o:title=""/>
                <o:lock v:ext="edit" aspectratio="f"/>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660288" behindDoc="1" locked="0" layoutInCell="1" allowOverlap="1">
          <wp:simplePos x="0" y="0"/>
          <wp:positionH relativeFrom="page">
            <wp:posOffset>722630</wp:posOffset>
          </wp:positionH>
          <wp:positionV relativeFrom="page">
            <wp:posOffset>119380</wp:posOffset>
          </wp:positionV>
          <wp:extent cx="2578735" cy="574675"/>
          <wp:effectExtent l="0" t="0" r="12065" b="15875"/>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
                  <a:stretch>
                    <a:fillRect/>
                  </a:stretch>
                </pic:blipFill>
                <pic:spPr>
                  <a:xfrm>
                    <a:off x="0" y="0"/>
                    <a:ext cx="2578735" cy="574675"/>
                  </a:xfrm>
                  <a:prstGeom prst="rect">
                    <a:avLst/>
                  </a:prstGeom>
                  <a:noFill/>
                  <a:ln>
                    <a:noFill/>
                  </a:ln>
                </pic:spPr>
              </pic:pic>
            </a:graphicData>
          </a:graphic>
        </wp:anchor>
      </w:drawing>
    </w:r>
    <w:r>
      <mc:AlternateContent>
        <mc:Choice Requires="wps">
          <w:drawing>
            <wp:anchor distT="0" distB="0" distL="114300" distR="114300" simplePos="0" relativeHeight="251661312" behindDoc="1" locked="0" layoutInCell="1" allowOverlap="1">
              <wp:simplePos x="0" y="0"/>
              <wp:positionH relativeFrom="page">
                <wp:posOffset>720090</wp:posOffset>
              </wp:positionH>
              <wp:positionV relativeFrom="page">
                <wp:posOffset>724535</wp:posOffset>
              </wp:positionV>
              <wp:extent cx="6120130" cy="0"/>
              <wp:effectExtent l="0" t="0" r="0" b="0"/>
              <wp:wrapNone/>
              <wp:docPr id="6" name="直线 1025"/>
              <wp:cNvGraphicFramePr/>
              <a:graphic xmlns:a="http://schemas.openxmlformats.org/drawingml/2006/main">
                <a:graphicData uri="http://schemas.microsoft.com/office/word/2010/wordprocessingShape">
                  <wps:wsp>
                    <wps:cNvCnPr/>
                    <wps:spPr>
                      <a:xfrm>
                        <a:off x="0" y="0"/>
                        <a:ext cx="61201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025" o:spid="_x0000_s1026" o:spt="20" style="position:absolute;left:0pt;margin-left:56.7pt;margin-top:57.05pt;height:0pt;width:481.9pt;mso-position-horizontal-relative:page;mso-position-vertical-relative:page;z-index:-251655168;mso-width-relative:page;mso-height-relative:page;" filled="f" stroked="t" coordsize="21600,21600" o:gfxdata="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TXq&#10;2NkAAAAMAQAADwAAAAAAAAABACAAAAAiAAAAZHJzL2Rvd25yZXYueG1sUEsBAhQAFAAAAAgAh07i&#10;QHTAAafoAQAA3gMAAA4AAAAAAAAAAQAgAAAAKAEAAGRycy9lMm9Eb2MueG1sUEsFBgAAAAAGAAYA&#10;WQEAAIIFAAAAAA==&#10;">
              <v:fill on="f" focussize="0,0"/>
              <v:stroke weight="0.48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5580" cy="6620510"/>
          <wp:effectExtent l="0" t="0" r="1270" b="8890"/>
          <wp:wrapNone/>
          <wp:docPr id="8" name="WordPictureWatermark320031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200313" descr="水印"/>
                  <pic:cNvPicPr>
                    <a:picLocks noChangeAspect="1"/>
                  </pic:cNvPicPr>
                </pic:nvPicPr>
                <pic:blipFill>
                  <a:blip r:embed="rId1"/>
                  <a:stretch>
                    <a:fillRect/>
                  </a:stretch>
                </pic:blipFill>
                <pic:spPr>
                  <a:xfrm>
                    <a:off x="0" y="0"/>
                    <a:ext cx="5275580" cy="66205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5580" cy="6620510"/>
          <wp:effectExtent l="0" t="0" r="1270" b="8890"/>
          <wp:wrapNone/>
          <wp:docPr id="7" name="WordPictureWatermark3200312"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200312" descr="水印"/>
                  <pic:cNvPicPr>
                    <a:picLocks noChangeAspect="1"/>
                  </pic:cNvPicPr>
                </pic:nvPicPr>
                <pic:blipFill>
                  <a:blip r:embed="rId1"/>
                  <a:stretch>
                    <a:fillRect/>
                  </a:stretch>
                </pic:blipFill>
                <pic:spPr>
                  <a:xfrm>
                    <a:off x="0" y="0"/>
                    <a:ext cx="5275580" cy="6620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577E2"/>
    <w:rsid w:val="00E27500"/>
    <w:rsid w:val="00ED262A"/>
    <w:rsid w:val="00F72382"/>
    <w:rsid w:val="03C11E37"/>
    <w:rsid w:val="064E2198"/>
    <w:rsid w:val="0C110DC0"/>
    <w:rsid w:val="10790D66"/>
    <w:rsid w:val="10DD4868"/>
    <w:rsid w:val="10E935A6"/>
    <w:rsid w:val="10FD10BF"/>
    <w:rsid w:val="1401643B"/>
    <w:rsid w:val="14C43192"/>
    <w:rsid w:val="16F770CF"/>
    <w:rsid w:val="1A8A103D"/>
    <w:rsid w:val="1D9E0A7C"/>
    <w:rsid w:val="1EE92B5F"/>
    <w:rsid w:val="206C4CB3"/>
    <w:rsid w:val="27D6E287"/>
    <w:rsid w:val="2F0A1A53"/>
    <w:rsid w:val="2F476C5F"/>
    <w:rsid w:val="347A50BF"/>
    <w:rsid w:val="35907B60"/>
    <w:rsid w:val="372D2FD2"/>
    <w:rsid w:val="3A4D73B8"/>
    <w:rsid w:val="3FDB9E2F"/>
    <w:rsid w:val="3FDEB0E7"/>
    <w:rsid w:val="431A10F9"/>
    <w:rsid w:val="469B6A42"/>
    <w:rsid w:val="471D6E59"/>
    <w:rsid w:val="4A6F6368"/>
    <w:rsid w:val="4BEF763B"/>
    <w:rsid w:val="4F4E00BB"/>
    <w:rsid w:val="515F33C4"/>
    <w:rsid w:val="5333351C"/>
    <w:rsid w:val="57593629"/>
    <w:rsid w:val="57FF559F"/>
    <w:rsid w:val="5CE474C9"/>
    <w:rsid w:val="5F516EF8"/>
    <w:rsid w:val="60207F23"/>
    <w:rsid w:val="669E4597"/>
    <w:rsid w:val="67A72557"/>
    <w:rsid w:val="6910375E"/>
    <w:rsid w:val="6CDC4850"/>
    <w:rsid w:val="6DB23369"/>
    <w:rsid w:val="6EE701A4"/>
    <w:rsid w:val="6FAF6D33"/>
    <w:rsid w:val="76FF90A0"/>
    <w:rsid w:val="7C0A6C4D"/>
    <w:rsid w:val="7EFC69D1"/>
    <w:rsid w:val="B6ED91C7"/>
    <w:rsid w:val="BF7B1A9B"/>
    <w:rsid w:val="BFBD05D0"/>
    <w:rsid w:val="BFFF66A8"/>
    <w:rsid w:val="C63F1CD4"/>
    <w:rsid w:val="DAFDEF68"/>
    <w:rsid w:val="DDCF6ACD"/>
    <w:rsid w:val="EFDDC3B6"/>
    <w:rsid w:val="FBF6E7EA"/>
    <w:rsid w:val="FFFE520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paragraph" w:styleId="2">
    <w:name w:val="heading 1"/>
    <w:basedOn w:val="1"/>
    <w:next w:val="1"/>
    <w:qFormat/>
    <w:uiPriority w:val="1"/>
    <w:pPr>
      <w:spacing w:before="1"/>
      <w:ind w:left="1769" w:right="1886"/>
      <w:jc w:val="center"/>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ind w:left="1122" w:right="2082"/>
      <w:jc w:val="center"/>
      <w:outlineLvl w:val="2"/>
    </w:pPr>
    <w:rPr>
      <w:rFonts w:ascii="宋体" w:hAnsi="宋体" w:eastAsia="宋体" w:cs="宋体"/>
      <w:b/>
      <w:bCs/>
      <w:sz w:val="28"/>
      <w:szCs w:val="28"/>
      <w:lang w:val="zh-CN" w:eastAsia="zh-CN" w:bidi="zh-CN"/>
    </w:rPr>
  </w:style>
  <w:style w:type="character" w:default="1" w:styleId="9">
    <w:name w:val="Default Paragraph Font"/>
    <w:unhideWhenUsed/>
    <w:qFormat/>
    <w:uiPriority w:val="1"/>
  </w:style>
  <w:style w:type="table" w:default="1" w:styleId="8">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24"/>
      <w:szCs w:val="24"/>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100" w:beforeAutospacing="1" w:after="10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FollowedHyperlink"/>
    <w:basedOn w:val="9"/>
    <w:qFormat/>
    <w:uiPriority w:val="0"/>
    <w:rPr>
      <w:color w:val="4F4F4F"/>
      <w:u w:val="none"/>
    </w:rPr>
  </w:style>
  <w:style w:type="character" w:styleId="12">
    <w:name w:val="Emphasis"/>
    <w:basedOn w:val="9"/>
    <w:qFormat/>
    <w:uiPriority w:val="0"/>
  </w:style>
  <w:style w:type="character" w:styleId="13">
    <w:name w:val="HTML Definition"/>
    <w:basedOn w:val="9"/>
    <w:qFormat/>
    <w:uiPriority w:val="0"/>
  </w:style>
  <w:style w:type="character" w:styleId="14">
    <w:name w:val="HTML Acronym"/>
    <w:basedOn w:val="9"/>
    <w:qFormat/>
    <w:uiPriority w:val="0"/>
  </w:style>
  <w:style w:type="character" w:styleId="15">
    <w:name w:val="HTML Variable"/>
    <w:basedOn w:val="9"/>
    <w:uiPriority w:val="0"/>
  </w:style>
  <w:style w:type="character" w:styleId="16">
    <w:name w:val="Hyperlink"/>
    <w:basedOn w:val="9"/>
    <w:uiPriority w:val="0"/>
    <w:rPr>
      <w:color w:val="4F4F4F"/>
      <w:u w:val="none"/>
    </w:rPr>
  </w:style>
  <w:style w:type="character" w:styleId="17">
    <w:name w:val="HTML Code"/>
    <w:basedOn w:val="9"/>
    <w:qFormat/>
    <w:uiPriority w:val="0"/>
    <w:rPr>
      <w:rFonts w:ascii="Courier New" w:hAnsi="Courier New"/>
      <w:sz w:val="20"/>
    </w:rPr>
  </w:style>
  <w:style w:type="character" w:styleId="18">
    <w:name w:val="HTML Cite"/>
    <w:basedOn w:val="9"/>
    <w:uiPriority w:val="0"/>
  </w:style>
  <w:style w:type="paragraph" w:customStyle="1" w:styleId="19">
    <w:name w:val="Body text|1"/>
    <w:basedOn w:val="1"/>
    <w:link w:val="27"/>
    <w:unhideWhenUsed/>
    <w:uiPriority w:val="0"/>
    <w:pPr>
      <w:spacing w:beforeLines="0" w:afterLines="0"/>
    </w:pPr>
    <w:rPr>
      <w:rFonts w:hint="eastAsia" w:ascii="MingLiU" w:hAnsi="MingLiU" w:eastAsia="MingLiU"/>
      <w:sz w:val="24"/>
      <w:lang w:val="zh-TW" w:eastAsia="zh-TW"/>
    </w:rPr>
  </w:style>
  <w:style w:type="paragraph" w:customStyle="1" w:styleId="20">
    <w:name w:val="Table Paragraph"/>
    <w:basedOn w:val="1"/>
    <w:qFormat/>
    <w:uiPriority w:val="1"/>
    <w:rPr>
      <w:lang w:val="zh-CN" w:eastAsia="zh-CN" w:bidi="zh-CN"/>
    </w:rPr>
  </w:style>
  <w:style w:type="paragraph" w:customStyle="1" w:styleId="21">
    <w:name w:val="List Paragraph"/>
    <w:basedOn w:val="1"/>
    <w:qFormat/>
    <w:uiPriority w:val="1"/>
    <w:rPr>
      <w:lang w:val="zh-CN" w:eastAsia="zh-CN" w:bidi="zh-CN"/>
    </w:rPr>
  </w:style>
  <w:style w:type="character" w:customStyle="1" w:styleId="22">
    <w:name w:val="gz"/>
    <w:basedOn w:val="9"/>
    <w:uiPriority w:val="0"/>
  </w:style>
  <w:style w:type="character" w:customStyle="1" w:styleId="23">
    <w:name w:val="disabled"/>
    <w:basedOn w:val="9"/>
    <w:uiPriority w:val="0"/>
    <w:rPr>
      <w:color w:val="999999"/>
      <w:bdr w:val="single" w:color="DDDDDD" w:sz="6" w:space="0"/>
    </w:rPr>
  </w:style>
  <w:style w:type="character" w:customStyle="1" w:styleId="24">
    <w:name w:val="hover7"/>
    <w:basedOn w:val="9"/>
    <w:uiPriority w:val="0"/>
    <w:rPr>
      <w:shd w:val="clear" w:color="auto" w:fill="E4393C"/>
    </w:rPr>
  </w:style>
  <w:style w:type="character" w:customStyle="1" w:styleId="25">
    <w:name w:val="current"/>
    <w:basedOn w:val="9"/>
    <w:uiPriority w:val="0"/>
    <w:rPr>
      <w:b/>
      <w:color w:val="FFFFFF"/>
      <w:shd w:val="clear" w:color="auto" w:fill="1F7BE3"/>
    </w:rPr>
  </w:style>
  <w:style w:type="character" w:customStyle="1" w:styleId="26">
    <w:name w:val="app"/>
    <w:basedOn w:val="9"/>
    <w:qFormat/>
    <w:uiPriority w:val="0"/>
  </w:style>
  <w:style w:type="character" w:customStyle="1" w:styleId="27">
    <w:name w:val="Body text|1_"/>
    <w:link w:val="19"/>
    <w:unhideWhenUsed/>
    <w:qFormat/>
    <w:uiPriority w:val="0"/>
    <w:rPr>
      <w:rFonts w:hint="eastAsia" w:ascii="MingLiU" w:hAnsi="MingLiU" w:eastAsia="MingLiU"/>
      <w:sz w:val="24"/>
      <w:lang w:val="zh-TW" w:eastAsia="zh-TW"/>
    </w:rPr>
  </w:style>
  <w:style w:type="table" w:customStyle="1" w:styleId="28">
    <w:name w:val="Table Normal"/>
    <w:unhideWhenUsed/>
    <w:qFormat/>
    <w:uiPriority w:val="2"/>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Words>
  <Characters>58</Characters>
  <Lines>1</Lines>
  <Paragraphs>1</Paragraphs>
  <TotalTime>2</TotalTime>
  <ScaleCrop>false</ScaleCrop>
  <LinksUpToDate>false</LinksUpToDate>
  <CharactersWithSpaces>67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2020-03-13T21:32:00Z</dcterms:created>
  <dc:creator>wuerkaida</dc:creator>
  <cp:lastModifiedBy>逝去</cp:lastModifiedBy>
  <cp:lastPrinted>2020-03-20T16:43:00Z</cp:lastPrinted>
  <dcterms:modified xsi:type="dcterms:W3CDTF">2021-03-24T07:34:23Z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2020-01-12T16:00:00Z</vt:filetime>
  </property>
  <property fmtid="{D5CDD505-2E9C-101B-9397-08002B2CF9AE}" pid="3" name="Creator">
    <vt:lpwstr>WPS ����</vt:lpwstr>
  </property>
  <property fmtid="{D5CDD505-2E9C-101B-9397-08002B2CF9AE}" pid="4" name="LastSaved">
    <vt:filetime>2020-03-13T16:00:00Z</vt:filetime>
  </property>
  <property fmtid="{D5CDD505-2E9C-101B-9397-08002B2CF9AE}" pid="5" name="KSOProductBuildVer">
    <vt:lpwstr>2052-11.1.0.10356</vt:lpwstr>
  </property>
  <property fmtid="{D5CDD505-2E9C-101B-9397-08002B2CF9AE}" pid="6" name="ICV">
    <vt:lpwstr>31FF6FE7DD2448159E737316E2ACA9F4</vt:lpwstr>
  </property>
</Properties>
</file>